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5000" w:type="pct"/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719"/>
        <w:gridCol w:w="6620"/>
        <w:gridCol w:w="980"/>
        <w:gridCol w:w="981"/>
        <w:gridCol w:w="981"/>
        <w:gridCol w:w="981"/>
        <w:gridCol w:w="981"/>
        <w:gridCol w:w="981"/>
        <w:gridCol w:w="981"/>
        <w:gridCol w:w="921"/>
      </w:tblGrid>
      <w:tr w:rsidR="007D5001" w:rsidRPr="00830A55" w14:paraId="63A2754D" w14:textId="77777777" w:rsidTr="00830A55">
        <w:tc>
          <w:tcPr>
            <w:tcW w:w="719" w:type="dxa"/>
            <w:vMerge w:val="restart"/>
            <w:shd w:val="clear" w:color="auto" w:fill="EECFCE" w:themeFill="accent1" w:themeFillTint="33"/>
            <w:vAlign w:val="center"/>
          </w:tcPr>
          <w:p w14:paraId="5B0713AF" w14:textId="77777777" w:rsidR="007D5001" w:rsidRPr="00830A55" w:rsidRDefault="007D5001" w:rsidP="007D5001">
            <w:pPr>
              <w:rPr>
                <w:rFonts w:asciiTheme="majorHAnsi" w:hAnsiTheme="majorHAnsi"/>
                <w:b/>
                <w:bCs/>
                <w:szCs w:val="22"/>
              </w:rPr>
            </w:pPr>
            <w:r w:rsidRPr="00830A55">
              <w:rPr>
                <w:rFonts w:asciiTheme="majorHAnsi" w:hAnsiTheme="majorHAnsi"/>
                <w:b/>
                <w:bCs/>
                <w:szCs w:val="22"/>
              </w:rPr>
              <w:t>Nr.</w:t>
            </w:r>
          </w:p>
        </w:tc>
        <w:tc>
          <w:tcPr>
            <w:tcW w:w="6620" w:type="dxa"/>
            <w:vMerge w:val="restart"/>
            <w:shd w:val="clear" w:color="auto" w:fill="EECFCE" w:themeFill="accent1" w:themeFillTint="33"/>
            <w:vAlign w:val="center"/>
          </w:tcPr>
          <w:p w14:paraId="398B1A7C" w14:textId="77777777" w:rsidR="007D5001" w:rsidRPr="00830A55" w:rsidRDefault="007D5001" w:rsidP="007D5001">
            <w:pPr>
              <w:rPr>
                <w:rFonts w:asciiTheme="majorHAnsi" w:hAnsiTheme="majorHAnsi"/>
                <w:b/>
                <w:bCs/>
                <w:szCs w:val="22"/>
              </w:rPr>
            </w:pPr>
            <w:r w:rsidRPr="00830A55">
              <w:rPr>
                <w:rFonts w:asciiTheme="majorHAnsi" w:hAnsiTheme="majorHAnsi"/>
                <w:b/>
                <w:bCs/>
                <w:szCs w:val="22"/>
              </w:rPr>
              <w:t>Prozess</w:t>
            </w:r>
          </w:p>
        </w:tc>
        <w:tc>
          <w:tcPr>
            <w:tcW w:w="7787" w:type="dxa"/>
            <w:gridSpan w:val="8"/>
            <w:shd w:val="clear" w:color="auto" w:fill="EECFCE" w:themeFill="accent1" w:themeFillTint="33"/>
            <w:vAlign w:val="center"/>
          </w:tcPr>
          <w:p w14:paraId="2883CED4" w14:textId="77777777" w:rsidR="007D5001" w:rsidRPr="00830A55" w:rsidRDefault="007D5001" w:rsidP="007D5001">
            <w:pPr>
              <w:jc w:val="center"/>
              <w:rPr>
                <w:rFonts w:asciiTheme="majorHAnsi" w:hAnsiTheme="majorHAnsi"/>
                <w:b/>
                <w:bCs/>
                <w:szCs w:val="22"/>
              </w:rPr>
            </w:pPr>
            <w:r w:rsidRPr="00830A55">
              <w:rPr>
                <w:rFonts w:asciiTheme="majorHAnsi" w:hAnsiTheme="majorHAnsi"/>
                <w:b/>
                <w:bCs/>
                <w:szCs w:val="22"/>
              </w:rPr>
              <w:t>Abteilung</w:t>
            </w:r>
          </w:p>
        </w:tc>
      </w:tr>
      <w:tr w:rsidR="007D5001" w:rsidRPr="00830A55" w14:paraId="3B3CAC57" w14:textId="77777777" w:rsidTr="00830A55">
        <w:tc>
          <w:tcPr>
            <w:tcW w:w="719" w:type="dxa"/>
            <w:vMerge/>
            <w:shd w:val="clear" w:color="auto" w:fill="EECFCE" w:themeFill="accent1" w:themeFillTint="33"/>
            <w:vAlign w:val="center"/>
          </w:tcPr>
          <w:p w14:paraId="6A7B0674" w14:textId="77777777" w:rsidR="007D5001" w:rsidRPr="00830A55" w:rsidRDefault="007D5001" w:rsidP="007D5001">
            <w:pPr>
              <w:rPr>
                <w:rFonts w:asciiTheme="majorHAnsi" w:hAnsiTheme="majorHAnsi"/>
                <w:b/>
                <w:bCs/>
                <w:szCs w:val="22"/>
              </w:rPr>
            </w:pPr>
          </w:p>
        </w:tc>
        <w:tc>
          <w:tcPr>
            <w:tcW w:w="6620" w:type="dxa"/>
            <w:vMerge/>
            <w:shd w:val="clear" w:color="auto" w:fill="EECFCE" w:themeFill="accent1" w:themeFillTint="33"/>
            <w:vAlign w:val="center"/>
          </w:tcPr>
          <w:p w14:paraId="0CB3772C" w14:textId="77777777" w:rsidR="007D5001" w:rsidRPr="00830A55" w:rsidRDefault="007D5001" w:rsidP="007D5001">
            <w:pPr>
              <w:rPr>
                <w:rFonts w:asciiTheme="majorHAnsi" w:hAnsiTheme="majorHAnsi"/>
                <w:b/>
                <w:bCs/>
                <w:szCs w:val="22"/>
              </w:rPr>
            </w:pPr>
          </w:p>
        </w:tc>
        <w:tc>
          <w:tcPr>
            <w:tcW w:w="980" w:type="dxa"/>
            <w:shd w:val="clear" w:color="auto" w:fill="EECFCE" w:themeFill="accent1" w:themeFillTint="33"/>
            <w:vAlign w:val="center"/>
          </w:tcPr>
          <w:p w14:paraId="5BEF7D18" w14:textId="77777777" w:rsidR="007D5001" w:rsidRPr="00830A55" w:rsidRDefault="007D5001" w:rsidP="007D5001">
            <w:pPr>
              <w:jc w:val="center"/>
              <w:rPr>
                <w:rFonts w:asciiTheme="majorHAnsi" w:hAnsiTheme="majorHAnsi"/>
                <w:b/>
                <w:bCs/>
                <w:szCs w:val="22"/>
              </w:rPr>
            </w:pPr>
            <w:r w:rsidRPr="00830A55">
              <w:rPr>
                <w:rFonts w:asciiTheme="majorHAnsi" w:hAnsiTheme="majorHAnsi"/>
                <w:b/>
                <w:bCs/>
                <w:szCs w:val="22"/>
              </w:rPr>
              <w:t>EK</w:t>
            </w:r>
          </w:p>
        </w:tc>
        <w:tc>
          <w:tcPr>
            <w:tcW w:w="981" w:type="dxa"/>
            <w:shd w:val="clear" w:color="auto" w:fill="EECFCE" w:themeFill="accent1" w:themeFillTint="33"/>
            <w:vAlign w:val="center"/>
          </w:tcPr>
          <w:p w14:paraId="0D9EDEB5" w14:textId="77777777" w:rsidR="007D5001" w:rsidRPr="00830A55" w:rsidRDefault="007D5001" w:rsidP="007D5001">
            <w:pPr>
              <w:jc w:val="center"/>
              <w:rPr>
                <w:rFonts w:asciiTheme="majorHAnsi" w:hAnsiTheme="majorHAnsi"/>
                <w:b/>
                <w:bCs/>
                <w:szCs w:val="22"/>
              </w:rPr>
            </w:pPr>
            <w:r w:rsidRPr="00830A55">
              <w:rPr>
                <w:rFonts w:asciiTheme="majorHAnsi" w:hAnsiTheme="majorHAnsi"/>
                <w:b/>
                <w:bCs/>
                <w:szCs w:val="22"/>
              </w:rPr>
              <w:t>La</w:t>
            </w:r>
          </w:p>
        </w:tc>
        <w:tc>
          <w:tcPr>
            <w:tcW w:w="981" w:type="dxa"/>
            <w:shd w:val="clear" w:color="auto" w:fill="EECFCE" w:themeFill="accent1" w:themeFillTint="33"/>
            <w:vAlign w:val="center"/>
          </w:tcPr>
          <w:p w14:paraId="22D28931" w14:textId="77777777" w:rsidR="007D5001" w:rsidRPr="00830A55" w:rsidRDefault="007D5001" w:rsidP="007D5001">
            <w:pPr>
              <w:jc w:val="center"/>
              <w:rPr>
                <w:rFonts w:asciiTheme="majorHAnsi" w:hAnsiTheme="majorHAnsi"/>
                <w:b/>
                <w:bCs/>
                <w:szCs w:val="22"/>
              </w:rPr>
            </w:pPr>
            <w:r w:rsidRPr="00830A55">
              <w:rPr>
                <w:rFonts w:asciiTheme="majorHAnsi" w:hAnsiTheme="majorHAnsi"/>
                <w:b/>
                <w:bCs/>
                <w:szCs w:val="22"/>
              </w:rPr>
              <w:t>Pr</w:t>
            </w:r>
          </w:p>
        </w:tc>
        <w:tc>
          <w:tcPr>
            <w:tcW w:w="981" w:type="dxa"/>
            <w:shd w:val="clear" w:color="auto" w:fill="EECFCE" w:themeFill="accent1" w:themeFillTint="33"/>
            <w:vAlign w:val="center"/>
          </w:tcPr>
          <w:p w14:paraId="01E5E290" w14:textId="77777777" w:rsidR="007D5001" w:rsidRPr="00830A55" w:rsidRDefault="007D5001" w:rsidP="007D5001">
            <w:pPr>
              <w:jc w:val="center"/>
              <w:rPr>
                <w:rFonts w:asciiTheme="majorHAnsi" w:hAnsiTheme="majorHAnsi"/>
                <w:b/>
                <w:bCs/>
                <w:szCs w:val="22"/>
              </w:rPr>
            </w:pPr>
            <w:proofErr w:type="spellStart"/>
            <w:r w:rsidRPr="00830A55">
              <w:rPr>
                <w:rFonts w:asciiTheme="majorHAnsi" w:hAnsiTheme="majorHAnsi"/>
                <w:b/>
                <w:bCs/>
                <w:szCs w:val="22"/>
              </w:rPr>
              <w:t>Pe</w:t>
            </w:r>
            <w:proofErr w:type="spellEnd"/>
          </w:p>
        </w:tc>
        <w:tc>
          <w:tcPr>
            <w:tcW w:w="981" w:type="dxa"/>
            <w:shd w:val="clear" w:color="auto" w:fill="EECFCE" w:themeFill="accent1" w:themeFillTint="33"/>
            <w:vAlign w:val="center"/>
          </w:tcPr>
          <w:p w14:paraId="6B3165E8" w14:textId="77777777" w:rsidR="007D5001" w:rsidRPr="00830A55" w:rsidRDefault="007D5001" w:rsidP="007D5001">
            <w:pPr>
              <w:jc w:val="center"/>
              <w:rPr>
                <w:rFonts w:asciiTheme="majorHAnsi" w:hAnsiTheme="majorHAnsi"/>
                <w:b/>
                <w:bCs/>
                <w:szCs w:val="22"/>
              </w:rPr>
            </w:pPr>
            <w:r w:rsidRPr="00830A55">
              <w:rPr>
                <w:rFonts w:asciiTheme="majorHAnsi" w:hAnsiTheme="majorHAnsi"/>
                <w:b/>
                <w:bCs/>
                <w:szCs w:val="22"/>
              </w:rPr>
              <w:t>FIBU</w:t>
            </w:r>
          </w:p>
        </w:tc>
        <w:tc>
          <w:tcPr>
            <w:tcW w:w="981" w:type="dxa"/>
            <w:shd w:val="clear" w:color="auto" w:fill="EECFCE" w:themeFill="accent1" w:themeFillTint="33"/>
            <w:vAlign w:val="center"/>
          </w:tcPr>
          <w:p w14:paraId="611F6CF1" w14:textId="77777777" w:rsidR="007D5001" w:rsidRPr="00830A55" w:rsidRDefault="007D5001" w:rsidP="007D5001">
            <w:pPr>
              <w:jc w:val="center"/>
              <w:rPr>
                <w:rFonts w:asciiTheme="majorHAnsi" w:hAnsiTheme="majorHAnsi"/>
                <w:b/>
                <w:bCs/>
                <w:szCs w:val="22"/>
              </w:rPr>
            </w:pPr>
            <w:r w:rsidRPr="00830A55">
              <w:rPr>
                <w:rFonts w:asciiTheme="majorHAnsi" w:hAnsiTheme="majorHAnsi"/>
                <w:b/>
                <w:bCs/>
                <w:szCs w:val="22"/>
              </w:rPr>
              <w:t>Co</w:t>
            </w:r>
          </w:p>
        </w:tc>
        <w:tc>
          <w:tcPr>
            <w:tcW w:w="981" w:type="dxa"/>
            <w:shd w:val="clear" w:color="auto" w:fill="EECFCE" w:themeFill="accent1" w:themeFillTint="33"/>
            <w:vAlign w:val="center"/>
          </w:tcPr>
          <w:p w14:paraId="0DA34D78" w14:textId="77777777" w:rsidR="007D5001" w:rsidRPr="00830A55" w:rsidRDefault="007D5001" w:rsidP="007D5001">
            <w:pPr>
              <w:jc w:val="center"/>
              <w:rPr>
                <w:rFonts w:asciiTheme="majorHAnsi" w:hAnsiTheme="majorHAnsi"/>
                <w:b/>
                <w:bCs/>
                <w:szCs w:val="22"/>
              </w:rPr>
            </w:pPr>
            <w:r w:rsidRPr="00830A55">
              <w:rPr>
                <w:rFonts w:asciiTheme="majorHAnsi" w:hAnsiTheme="majorHAnsi"/>
                <w:b/>
                <w:bCs/>
                <w:szCs w:val="22"/>
              </w:rPr>
              <w:t>Ma</w:t>
            </w:r>
          </w:p>
        </w:tc>
        <w:tc>
          <w:tcPr>
            <w:tcW w:w="921" w:type="dxa"/>
            <w:shd w:val="clear" w:color="auto" w:fill="EECFCE" w:themeFill="accent1" w:themeFillTint="33"/>
            <w:vAlign w:val="center"/>
          </w:tcPr>
          <w:p w14:paraId="4CDFA7FE" w14:textId="77777777" w:rsidR="007D5001" w:rsidRPr="00830A55" w:rsidRDefault="007D5001" w:rsidP="007D5001">
            <w:pPr>
              <w:jc w:val="center"/>
              <w:rPr>
                <w:rFonts w:asciiTheme="majorHAnsi" w:hAnsiTheme="majorHAnsi"/>
                <w:b/>
                <w:bCs/>
                <w:szCs w:val="22"/>
              </w:rPr>
            </w:pPr>
            <w:proofErr w:type="spellStart"/>
            <w:r w:rsidRPr="00830A55">
              <w:rPr>
                <w:rFonts w:asciiTheme="majorHAnsi" w:hAnsiTheme="majorHAnsi"/>
                <w:b/>
                <w:bCs/>
                <w:szCs w:val="22"/>
              </w:rPr>
              <w:t>Ve</w:t>
            </w:r>
            <w:proofErr w:type="spellEnd"/>
          </w:p>
        </w:tc>
      </w:tr>
      <w:tr w:rsidR="00830A55" w:rsidRPr="00830A55" w14:paraId="0B9309BF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21AC631E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1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6D6343BF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Analysieren von Bewerbungsunterlagen</w:t>
            </w:r>
          </w:p>
        </w:tc>
        <w:sdt>
          <w:sdtPr>
            <w:rPr>
              <w:rFonts w:asciiTheme="majorHAnsi" w:hAnsiTheme="majorHAnsi"/>
              <w:szCs w:val="22"/>
            </w:rPr>
            <w:id w:val="9980024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142AEC07" w14:textId="492F39A7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8787716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DAD82E9" w14:textId="42D185D6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00739347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4841198" w14:textId="631D02B7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3267857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9A3ABBE" w14:textId="2A39CECD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1230678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700625B" w14:textId="2F14E18E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9418881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34C9F7BA" w14:textId="6605248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8967825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3317D07" w14:textId="775C799E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12114589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5C9642F1" w14:textId="3E40924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4B05AC3F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22E990F9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2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756B56DA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Planen einer Kundenbefragung</w:t>
            </w:r>
          </w:p>
        </w:tc>
        <w:sdt>
          <w:sdtPr>
            <w:rPr>
              <w:rFonts w:asciiTheme="majorHAnsi" w:hAnsiTheme="majorHAnsi"/>
              <w:szCs w:val="22"/>
            </w:rPr>
            <w:id w:val="-9756776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31EFE474" w14:textId="4AC53D26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667871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B1C0856" w14:textId="01082F34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7049462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D78AF0C" w14:textId="7543720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264203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9E03719" w14:textId="78177A7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6403306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9AEAED2" w14:textId="7AB4BC21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59247034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D758821" w14:textId="08FC42F2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6675209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0F42BAA" w14:textId="0830FF31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67025260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023BCBCA" w14:textId="62FA7E45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454A911B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33ADB8A5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3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2A914E8F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Analysieren der betrieblichen Kosten</w:t>
            </w:r>
          </w:p>
        </w:tc>
        <w:sdt>
          <w:sdtPr>
            <w:rPr>
              <w:rFonts w:asciiTheme="majorHAnsi" w:hAnsiTheme="majorHAnsi"/>
              <w:szCs w:val="22"/>
            </w:rPr>
            <w:id w:val="3952508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237F9BC4" w14:textId="64CC257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678691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187838B" w14:textId="3872E5D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8615506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6CE676D" w14:textId="3CE233E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8709558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762AB38" w14:textId="46DBB4D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883625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F4F6F77" w14:textId="64F926BE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5895393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35740631" w14:textId="513B7E8D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25065147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3F1E5719" w14:textId="3EDAC441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10692416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0A0036FF" w14:textId="47E1ED7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4C0E04D3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58AD82B0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4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137B7787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Erstellen der Bilanz</w:t>
            </w:r>
          </w:p>
        </w:tc>
        <w:sdt>
          <w:sdtPr>
            <w:rPr>
              <w:rFonts w:asciiTheme="majorHAnsi" w:hAnsiTheme="majorHAnsi"/>
              <w:szCs w:val="22"/>
            </w:rPr>
            <w:id w:val="2273553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02A52481" w14:textId="164D525E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4397243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4760DA8" w14:textId="2BC381E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713561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FF6A0A1" w14:textId="61E99609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3451798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37D0C9F" w14:textId="33F5C7B1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96926513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F59D1DA" w14:textId="704A94BC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45478989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3D48AD5" w14:textId="29511C69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7498112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BDF0A48" w14:textId="0C1A1308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10139305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669A647D" w14:textId="0AEEC636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12AB2ACB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50DBDE54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5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1DED27E4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Optimieren der Maschinenlaufzeiten</w:t>
            </w:r>
          </w:p>
        </w:tc>
        <w:sdt>
          <w:sdtPr>
            <w:rPr>
              <w:rFonts w:asciiTheme="majorHAnsi" w:hAnsiTheme="majorHAnsi"/>
              <w:szCs w:val="22"/>
            </w:rPr>
            <w:id w:val="1589276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2E201478" w14:textId="5E0902C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133251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FBE13BE" w14:textId="0DBDD522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3026853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A0812D3" w14:textId="49AB9B8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3027714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2C70857" w14:textId="34DA804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610648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897A35C" w14:textId="2DA7DAE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33325191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C62CB47" w14:textId="75193366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0956391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51D3EE1" w14:textId="445D882C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749331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5E0220A4" w14:textId="161E0163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58202935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4B9560D9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6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3CB13A07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Vergleichen von Lieferantenangeboten</w:t>
            </w:r>
          </w:p>
        </w:tc>
        <w:sdt>
          <w:sdtPr>
            <w:rPr>
              <w:rFonts w:asciiTheme="majorHAnsi" w:hAnsiTheme="majorHAnsi"/>
              <w:szCs w:val="22"/>
            </w:rPr>
            <w:id w:val="8971717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760BE62C" w14:textId="038FA503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9244065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18A18B3" w14:textId="6BF3F7A8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35957965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9E26876" w14:textId="5C6040DD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0625904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DCE641D" w14:textId="162B75BE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9235348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1E37FEE" w14:textId="34678305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9786835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FAFADAB" w14:textId="03FFCFD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5018842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1A65BA7" w14:textId="5AF0F41C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81052392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2616EA1D" w14:textId="7B2046D5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3DF52000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64D9CBD1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7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126CEA8B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Durchführen von Soll-Ist-Vergleichen</w:t>
            </w:r>
          </w:p>
        </w:tc>
        <w:sdt>
          <w:sdtPr>
            <w:rPr>
              <w:rFonts w:asciiTheme="majorHAnsi" w:hAnsiTheme="majorHAnsi"/>
              <w:szCs w:val="22"/>
            </w:rPr>
            <w:id w:val="19034075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776E9343" w14:textId="0F89607C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3167739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8145717" w14:textId="50B5843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41462647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F5E00F8" w14:textId="206CCBE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9501235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4580E5A" w14:textId="13C44660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705493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12B47AB" w14:textId="12D8A9D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629651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34695512" w14:textId="6CAD068C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7778717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7F1673C" w14:textId="4EBA10FE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0834881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13123E85" w14:textId="6DB4B5D8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3EE0D17E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7FD975DD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8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548BA5A1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Kommissionieren der Ware (versandfertig machen)</w:t>
            </w:r>
          </w:p>
        </w:tc>
        <w:sdt>
          <w:sdtPr>
            <w:rPr>
              <w:rFonts w:asciiTheme="majorHAnsi" w:hAnsiTheme="majorHAnsi"/>
              <w:szCs w:val="22"/>
            </w:rPr>
            <w:id w:val="121731130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0C5E058E" w14:textId="405EFBC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1201399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E07D9ED" w14:textId="50DD67A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967238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E401B8F" w14:textId="28F935B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67788595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C6E1B35" w14:textId="40769494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9721072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716AD6E" w14:textId="3AF3FB07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9838349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C07FB07" w14:textId="2D0148C8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5044214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935F983" w14:textId="4EFC4770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8558753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16B1D263" w14:textId="5E427C60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2E1F5058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51D1AB16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9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739D3C70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Beraten der Kunden</w:t>
            </w:r>
          </w:p>
        </w:tc>
        <w:sdt>
          <w:sdtPr>
            <w:rPr>
              <w:rFonts w:asciiTheme="majorHAnsi" w:hAnsiTheme="majorHAnsi"/>
              <w:szCs w:val="22"/>
            </w:rPr>
            <w:id w:val="7694329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72247F88" w14:textId="36765E18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31302067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D3D8581" w14:textId="22D9AF78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490630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3C37A4DE" w14:textId="2CBB63DD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0798696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3DBCADFE" w14:textId="23F83221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044943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A6BBED8" w14:textId="5D752C29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25223777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2852894" w14:textId="6037999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1240338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97293E1" w14:textId="29EDB5B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8677905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2B9FD79C" w14:textId="48A84680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2641ACF1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0259FD30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10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5152DD46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Umsetzen einer Werbekampagne</w:t>
            </w:r>
          </w:p>
        </w:tc>
        <w:sdt>
          <w:sdtPr>
            <w:rPr>
              <w:rFonts w:asciiTheme="majorHAnsi" w:hAnsiTheme="majorHAnsi"/>
              <w:szCs w:val="22"/>
            </w:rPr>
            <w:id w:val="-33499823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72FFA12B" w14:textId="19312A88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67700755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3D6DE30" w14:textId="16FA6C83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4746407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516C31B" w14:textId="39B19A78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2266435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547E3B0" w14:textId="27412702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4304416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31F69A99" w14:textId="2E2F4A3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60903093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C95BA3E" w14:textId="1D5478D3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72286404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716D47B" w14:textId="315379D1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796700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41E26B78" w14:textId="751A6FE6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22FEDA8F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409464EE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11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17F0CDF6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Erstellen von Gehaltsabrechnungen</w:t>
            </w:r>
          </w:p>
        </w:tc>
        <w:sdt>
          <w:sdtPr>
            <w:rPr>
              <w:rFonts w:asciiTheme="majorHAnsi" w:hAnsiTheme="majorHAnsi"/>
              <w:szCs w:val="22"/>
            </w:rPr>
            <w:id w:val="4772701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0C1A257F" w14:textId="45E27C95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0781687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21D256B" w14:textId="685C6EA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6208414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3316120" w14:textId="046A7C8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31908022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867C7A3" w14:textId="0102751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8305202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062AF33" w14:textId="552703F0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722288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4E82274" w14:textId="344AEC4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72290803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87E7769" w14:textId="2212DDC5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6128669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16B7C4A0" w14:textId="6A09FFE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2AAEE0C9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26136EC7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12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528D7F11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Buchen von Ein- und Ausgangsrechnungen</w:t>
            </w:r>
          </w:p>
        </w:tc>
        <w:sdt>
          <w:sdtPr>
            <w:rPr>
              <w:rFonts w:asciiTheme="majorHAnsi" w:hAnsiTheme="majorHAnsi"/>
              <w:szCs w:val="22"/>
            </w:rPr>
            <w:id w:val="9670870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1950808D" w14:textId="0C472AE2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0487259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0605EBD" w14:textId="1758AE57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417052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C1F575E" w14:textId="394EBAF0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39843244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967A1C3" w14:textId="5C40438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4493119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7B5B644" w14:textId="7F887B7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9240658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11E3548" w14:textId="4A122C7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8514826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EEED82F" w14:textId="6B47388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9620052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4BE8526C" w14:textId="228A7730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64FAEF77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11F259E9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13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196FFFC9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Ermitteln neuer Bezugsquellen</w:t>
            </w:r>
          </w:p>
        </w:tc>
        <w:sdt>
          <w:sdtPr>
            <w:rPr>
              <w:rFonts w:asciiTheme="majorHAnsi" w:hAnsiTheme="majorHAnsi"/>
              <w:szCs w:val="22"/>
            </w:rPr>
            <w:id w:val="111632899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78B48813" w14:textId="1DD41672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1426478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0D53ABC" w14:textId="61661469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9529101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F3B259F" w14:textId="385C57C0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35631251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B1F311C" w14:textId="5978449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676379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6ABCBAC" w14:textId="06AC8474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8204565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7B170C8" w14:textId="08EA27A2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2856262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D4086B2" w14:textId="256EE13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7798321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4F7C0C91" w14:textId="540E3E19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483B2FFD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09C18B70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14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610F0E0B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Festlegen der Vertriebswege</w:t>
            </w:r>
          </w:p>
        </w:tc>
        <w:sdt>
          <w:sdtPr>
            <w:rPr>
              <w:rFonts w:asciiTheme="majorHAnsi" w:hAnsiTheme="majorHAnsi"/>
              <w:szCs w:val="22"/>
            </w:rPr>
            <w:id w:val="-6567633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199AAB58" w14:textId="092BE4C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21345862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DABFF4C" w14:textId="122379EC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8246545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A6DE685" w14:textId="6B588043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33815689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53142F9" w14:textId="1EB3E9A8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1871863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DE32F4F" w14:textId="49A38A66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87233882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F9AD645" w14:textId="6288727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4014052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21AF67A" w14:textId="26C4AC71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0991610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7F6E5EE3" w14:textId="4027FD8C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7B1918A0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21ACCAC3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15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7CEB6A1C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Führen von Verkaufsgesprächen</w:t>
            </w:r>
          </w:p>
        </w:tc>
        <w:sdt>
          <w:sdtPr>
            <w:rPr>
              <w:rFonts w:asciiTheme="majorHAnsi" w:hAnsiTheme="majorHAnsi"/>
              <w:szCs w:val="22"/>
            </w:rPr>
            <w:id w:val="-4041471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6E52BB1D" w14:textId="09C9B213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334386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6E14CFB" w14:textId="7FC1030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20548785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3C53265B" w14:textId="482418C0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989271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5CF33D8F" w14:textId="01FD3143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14100059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A8D823E" w14:textId="3E9D0544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32910180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1CA88ED" w14:textId="09D29834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003507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1F39E12" w14:textId="68C7517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301526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2A041EAA" w14:textId="3FC92B3E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3E2986F9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0CD2AD29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16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0949BB44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Umrüsten von Maschinen</w:t>
            </w:r>
          </w:p>
        </w:tc>
        <w:sdt>
          <w:sdtPr>
            <w:rPr>
              <w:rFonts w:asciiTheme="majorHAnsi" w:hAnsiTheme="majorHAnsi"/>
              <w:szCs w:val="22"/>
            </w:rPr>
            <w:id w:val="8641778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6CA1CA1C" w14:textId="0B0A20A0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4301588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5D38D09" w14:textId="2A0F8A9A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4709344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FD6454B" w14:textId="09D6B18E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7602997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A2D42D7" w14:textId="55C3B5EE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3714955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569D780" w14:textId="28B4F83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56556605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87CEF1D" w14:textId="3CFA1853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0953100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BEE0C6A" w14:textId="62348C2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1928761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765F3963" w14:textId="2507E1F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380B5102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5A2BC99C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17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5CE246A1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Be- und Entladen der LKW</w:t>
            </w:r>
          </w:p>
        </w:tc>
        <w:sdt>
          <w:sdtPr>
            <w:rPr>
              <w:rFonts w:asciiTheme="majorHAnsi" w:hAnsiTheme="majorHAnsi"/>
              <w:szCs w:val="22"/>
            </w:rPr>
            <w:id w:val="10258266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6FBC69F9" w14:textId="438CD6A3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65317785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A3A6D58" w14:textId="149C82F7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4160605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E81946D" w14:textId="313FD904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60549264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C27C9B3" w14:textId="1D43884C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0923896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4D71C965" w14:textId="7E896305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0229345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147FACA" w14:textId="2AE259FB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7028306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616CDBB7" w14:textId="04B8D87E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9615341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2835EE7F" w14:textId="735518F6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  <w:tr w:rsidR="00830A55" w:rsidRPr="00830A55" w14:paraId="0EE2F0E3" w14:textId="77777777" w:rsidTr="00830A55">
        <w:tc>
          <w:tcPr>
            <w:tcW w:w="719" w:type="dxa"/>
            <w:shd w:val="clear" w:color="auto" w:fill="F2DCDB" w:themeFill="accent3" w:themeFillTint="33"/>
            <w:tcMar>
              <w:right w:w="170" w:type="dxa"/>
            </w:tcMar>
          </w:tcPr>
          <w:p w14:paraId="252F8F85" w14:textId="77777777" w:rsidR="00830A55" w:rsidRPr="00830A55" w:rsidRDefault="00830A55" w:rsidP="00830A55">
            <w:pPr>
              <w:jc w:val="right"/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18</w:t>
            </w:r>
          </w:p>
        </w:tc>
        <w:tc>
          <w:tcPr>
            <w:tcW w:w="6620" w:type="dxa"/>
            <w:shd w:val="clear" w:color="auto" w:fill="F2DCDB" w:themeFill="accent3" w:themeFillTint="33"/>
          </w:tcPr>
          <w:p w14:paraId="2CA1BA55" w14:textId="77777777" w:rsidR="00830A55" w:rsidRPr="00830A55" w:rsidRDefault="00830A55" w:rsidP="00830A55">
            <w:pPr>
              <w:rPr>
                <w:rFonts w:asciiTheme="majorHAnsi" w:hAnsiTheme="majorHAnsi"/>
                <w:szCs w:val="22"/>
              </w:rPr>
            </w:pPr>
            <w:r w:rsidRPr="00830A55">
              <w:rPr>
                <w:rFonts w:asciiTheme="majorHAnsi" w:hAnsiTheme="majorHAnsi"/>
                <w:szCs w:val="22"/>
              </w:rPr>
              <w:t>Entwickeln von Preisstrategien</w:t>
            </w:r>
          </w:p>
        </w:tc>
        <w:sdt>
          <w:sdtPr>
            <w:rPr>
              <w:rFonts w:asciiTheme="majorHAnsi" w:hAnsiTheme="majorHAnsi"/>
              <w:szCs w:val="22"/>
            </w:rPr>
            <w:id w:val="4387223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0" w:type="dxa"/>
                <w:vAlign w:val="center"/>
              </w:tcPr>
              <w:p w14:paraId="537620A0" w14:textId="550CB0EF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4755AD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4983366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75CE7A7B" w14:textId="2CD328DC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195953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0D3DB128" w14:textId="13791797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0530691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12C1F160" w14:textId="536B82DD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799559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355598F0" w14:textId="3FB4F471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18577957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2FD8F758" w14:textId="616FD7E2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-206910682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81" w:type="dxa"/>
                <w:vAlign w:val="center"/>
              </w:tcPr>
              <w:p w14:paraId="3195C1BD" w14:textId="3BC3B8D6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  <w:sdt>
          <w:sdtPr>
            <w:rPr>
              <w:rFonts w:asciiTheme="majorHAnsi" w:hAnsiTheme="majorHAnsi"/>
              <w:szCs w:val="22"/>
            </w:rPr>
            <w:id w:val="11632865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921" w:type="dxa"/>
                <w:vAlign w:val="center"/>
              </w:tcPr>
              <w:p w14:paraId="5936302C" w14:textId="572EBC06" w:rsidR="00830A55" w:rsidRPr="00830A55" w:rsidRDefault="00830A55" w:rsidP="00830A55">
                <w:pPr>
                  <w:jc w:val="center"/>
                  <w:rPr>
                    <w:rFonts w:asciiTheme="majorHAnsi" w:hAnsiTheme="majorHAnsi"/>
                    <w:szCs w:val="22"/>
                  </w:rPr>
                </w:pPr>
                <w:r w:rsidRPr="00BC5B1A">
                  <w:rPr>
                    <w:rFonts w:ascii="MS Gothic" w:eastAsia="MS Gothic" w:hAnsi="MS Gothic" w:hint="eastAsia"/>
                    <w:szCs w:val="22"/>
                  </w:rPr>
                  <w:t>☐</w:t>
                </w:r>
              </w:p>
            </w:tc>
          </w:sdtContent>
        </w:sdt>
      </w:tr>
    </w:tbl>
    <w:p w14:paraId="7B346A6D" w14:textId="77777777" w:rsidR="004F4F49" w:rsidRPr="007D5001" w:rsidRDefault="004F4F49">
      <w:pPr>
        <w:rPr>
          <w:sz w:val="20"/>
          <w:szCs w:val="20"/>
        </w:rPr>
      </w:pPr>
    </w:p>
    <w:sectPr w:rsidR="004F4F49" w:rsidRPr="007D5001" w:rsidSect="00830A55">
      <w:pgSz w:w="16838" w:h="11906" w:orient="landscape"/>
      <w:pgMar w:top="1418" w:right="851" w:bottom="851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5001"/>
    <w:rsid w:val="000E5D98"/>
    <w:rsid w:val="001B1B1C"/>
    <w:rsid w:val="002718E0"/>
    <w:rsid w:val="002F0DF7"/>
    <w:rsid w:val="0044307E"/>
    <w:rsid w:val="004F4F49"/>
    <w:rsid w:val="005142BE"/>
    <w:rsid w:val="005561D2"/>
    <w:rsid w:val="00557730"/>
    <w:rsid w:val="00591F7E"/>
    <w:rsid w:val="005D2B55"/>
    <w:rsid w:val="006D4F07"/>
    <w:rsid w:val="007D5001"/>
    <w:rsid w:val="00830A55"/>
    <w:rsid w:val="009C34F4"/>
    <w:rsid w:val="00A459BB"/>
    <w:rsid w:val="00A868CB"/>
    <w:rsid w:val="00B95F60"/>
    <w:rsid w:val="00D638DE"/>
    <w:rsid w:val="00D65FB0"/>
    <w:rsid w:val="00DC18F8"/>
    <w:rsid w:val="00E85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3F08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F4F49"/>
    <w:pPr>
      <w:spacing w:after="0" w:line="240" w:lineRule="auto"/>
    </w:pPr>
    <w:rPr>
      <w:rFonts w:ascii="Aptos" w:hAnsi="Apto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7D500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7D500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7D5001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652524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7D5001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652524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7D5001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652524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7D5001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787370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7D5001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787370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7D5001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4D4A48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7D5001"/>
    <w:pPr>
      <w:keepNext/>
      <w:keepLines/>
      <w:outlineLvl w:val="8"/>
    </w:pPr>
    <w:rPr>
      <w:rFonts w:asciiTheme="minorHAnsi" w:eastAsiaTheme="majorEastAsia" w:hAnsiTheme="minorHAnsi" w:cstheme="majorBidi"/>
      <w:color w:val="4D4A48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7D5001"/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7D5001"/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7D5001"/>
    <w:rPr>
      <w:rFonts w:eastAsiaTheme="majorEastAsia" w:cstheme="majorBidi"/>
      <w:color w:val="652524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7D5001"/>
    <w:rPr>
      <w:rFonts w:eastAsiaTheme="majorEastAsia" w:cstheme="majorBidi"/>
      <w:i/>
      <w:iCs/>
      <w:color w:val="652524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7D5001"/>
    <w:rPr>
      <w:rFonts w:eastAsiaTheme="majorEastAsia" w:cstheme="majorBidi"/>
      <w:color w:val="652524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7D5001"/>
    <w:rPr>
      <w:rFonts w:eastAsiaTheme="majorEastAsia" w:cstheme="majorBidi"/>
      <w:i/>
      <w:iCs/>
      <w:color w:val="787370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7D5001"/>
    <w:rPr>
      <w:rFonts w:eastAsiaTheme="majorEastAsia" w:cstheme="majorBidi"/>
      <w:color w:val="787370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7D5001"/>
    <w:rPr>
      <w:rFonts w:eastAsiaTheme="majorEastAsia" w:cstheme="majorBidi"/>
      <w:i/>
      <w:iCs/>
      <w:color w:val="4D4A48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7D5001"/>
    <w:rPr>
      <w:rFonts w:eastAsiaTheme="majorEastAsia" w:cstheme="majorBidi"/>
      <w:color w:val="4D4A48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7D500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7D500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7D5001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787370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D5001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7D5001"/>
    <w:pPr>
      <w:spacing w:before="160" w:after="160"/>
      <w:jc w:val="center"/>
    </w:pPr>
    <w:rPr>
      <w:i/>
      <w:iCs/>
      <w:color w:val="635E5C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7D5001"/>
    <w:rPr>
      <w:rFonts w:ascii="Aptos" w:hAnsi="Aptos"/>
      <w:i/>
      <w:iCs/>
      <w:color w:val="635E5C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7D5001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7D5001"/>
    <w:rPr>
      <w:i/>
      <w:iCs/>
      <w:color w:val="652524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7D5001"/>
    <w:pPr>
      <w:pBdr>
        <w:top w:val="single" w:sz="4" w:space="10" w:color="652524" w:themeColor="accent1" w:themeShade="BF"/>
        <w:bottom w:val="single" w:sz="4" w:space="10" w:color="652524" w:themeColor="accent1" w:themeShade="BF"/>
      </w:pBdr>
      <w:spacing w:before="360" w:after="360"/>
      <w:ind w:left="864" w:right="864"/>
      <w:jc w:val="center"/>
    </w:pPr>
    <w:rPr>
      <w:i/>
      <w:iCs/>
      <w:color w:val="652524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7D5001"/>
    <w:rPr>
      <w:rFonts w:ascii="Aptos" w:hAnsi="Aptos"/>
      <w:i/>
      <w:iCs/>
      <w:color w:val="652524" w:themeColor="accent1" w:themeShade="BF"/>
      <w:sz w:val="22"/>
    </w:rPr>
  </w:style>
  <w:style w:type="character" w:styleId="IntensiverVerweis">
    <w:name w:val="Intense Reference"/>
    <w:basedOn w:val="Absatz-Standardschriftart"/>
    <w:uiPriority w:val="32"/>
    <w:qFormat/>
    <w:rsid w:val="007D5001"/>
    <w:rPr>
      <w:b/>
      <w:bCs/>
      <w:smallCaps/>
      <w:color w:val="652524" w:themeColor="accent1" w:themeShade="BF"/>
      <w:spacing w:val="5"/>
    </w:rPr>
  </w:style>
  <w:style w:type="table" w:styleId="Tabellenraster">
    <w:name w:val="Table Grid"/>
    <w:basedOn w:val="NormaleTabelle"/>
    <w:uiPriority w:val="39"/>
    <w:rsid w:val="007D50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 (A) Abteilungen eines Unternehmens und deren Funktionen - Arbeitsauftrag 2.dotx</Template>
  <TotalTime>0</TotalTime>
  <Pages>1</Pages>
  <Words>172</Words>
  <Characters>1089</Characters>
  <Application>Microsoft Office Word</Application>
  <DocSecurity>0</DocSecurity>
  <Lines>9</Lines>
  <Paragraphs>2</Paragraphs>
  <ScaleCrop>false</ScaleCrop>
  <Company/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Evers, Marc William</dc:creator>
  <cp:keywords/>
  <dc:description/>
  <cp:lastModifiedBy>Thomas Gorontzy</cp:lastModifiedBy>
  <cp:revision>2</cp:revision>
  <dcterms:created xsi:type="dcterms:W3CDTF">2026-03-10T07:08:00Z</dcterms:created>
  <dcterms:modified xsi:type="dcterms:W3CDTF">2026-10-05T08:13:00Z</dcterms:modified>
</cp:coreProperties>
</file>