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t>SMILE Линейная регрессия и KNN регрессор.</w:t>
      </w:r>
    </w:p>
    <w:p w14:paraId="02000000">
      <w:pPr>
        <w:pStyle w:val="Style_1"/>
      </w:pPr>
    </w:p>
    <w:p w14:paraId="03000000">
      <w:pPr>
        <w:pStyle w:val="Style_1"/>
      </w:pPr>
      <w:r>
        <w:t xml:space="preserve"> Для создания модели машинного обучения с помощью SMILE рекомендуется придерживаться следующих этапов: </w:t>
      </w:r>
    </w:p>
    <w:p w14:paraId="04000000">
      <w:pPr>
        <w:pStyle w:val="Style_1"/>
      </w:pPr>
      <w:r>
        <w:t xml:space="preserve">1. Импортировать данные в формате CSV. </w:t>
      </w:r>
    </w:p>
    <w:p w14:paraId="05000000">
      <w:pPr>
        <w:pStyle w:val="Style_1"/>
      </w:pPr>
      <w:r>
        <w:t xml:space="preserve">2. Произвести обработку признаков. Сюда входит очистка, отбор, заполнение пропусков, генерация новых признаков и т. п. </w:t>
      </w:r>
    </w:p>
    <w:p w14:paraId="06000000">
      <w:pPr>
        <w:pStyle w:val="Style_1"/>
      </w:pPr>
      <w:r>
        <w:t>3. Разбить набор данных на обучающую и тестовую выборки</w:t>
      </w:r>
    </w:p>
    <w:p w14:paraId="07000000">
      <w:pPr>
        <w:pStyle w:val="Style_1"/>
      </w:pPr>
      <w:r>
        <w:t xml:space="preserve"> 4. Выбрать метод (блок) для решения поставленной задачи (регрессия, классификация, кластеризация). </w:t>
      </w:r>
    </w:p>
    <w:p w14:paraId="08000000">
      <w:pPr>
        <w:pStyle w:val="Style_1"/>
      </w:pPr>
      <w:r>
        <w:t xml:space="preserve">5. Обучить и оценить модель. Приведем пример построения модели линейной регрессии и KNN регрессора. Импортируем набор данных в локальное хранилище с именами train_df_Ar_HE_H2.csv и </w:t>
      </w:r>
      <w:r>
        <w:t>test_df_Ar_HE_H2.csv</w:t>
      </w:r>
    </w:p>
    <w:p w14:paraId="09000000">
      <w:pPr>
        <w:pStyle w:val="Style_1"/>
      </w:pPr>
    </w:p>
    <w:p w14:paraId="0A000000">
      <w:pPr>
        <w:pStyle w:val="Style_1"/>
      </w:pPr>
      <w:r>
        <w:drawing>
          <wp:inline>
            <wp:extent cx="5196840" cy="191262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5196840" cy="19126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000000">
      <w:pPr>
        <w:pStyle w:val="Style_1"/>
      </w:pPr>
    </w:p>
    <w:p w14:paraId="0C000000">
      <w:pPr>
        <w:pStyle w:val="Style_1"/>
      </w:pPr>
      <w:r>
        <w:t>Будем решать задачу по предсказанию средней энергии электронов в газовой смеси, состоящей из трех газов: аргона, гелия и водорода по данным температуры смеси, напряженности электрического поля, в котором находится смесь, и концентраций газовых компонент.</w:t>
      </w:r>
    </w:p>
    <w:p w14:paraId="0D000000">
      <w:pPr>
        <w:pStyle w:val="Style_1"/>
      </w:pPr>
    </w:p>
    <w:p w14:paraId="0E000000">
      <w:pPr>
        <w:pStyle w:val="Style_1"/>
      </w:pPr>
      <w:r>
        <w:t>Отберем лишь некоторые признаки (не будем брать концентрацию водорода, т.к. этот признак не является независимым и вычисляется как 1– концентрации газов аргона и гелия) и в качестве таргета возьмем среднюю энергию электронов.</w:t>
      </w:r>
    </w:p>
    <w:p w14:paraId="0F000000">
      <w:pPr>
        <w:pStyle w:val="Style_1"/>
      </w:pPr>
      <w:r>
        <w:drawing>
          <wp:inline>
            <wp:extent cx="3208020" cy="283464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320802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000000">
      <w:pPr>
        <w:pStyle w:val="Style_1"/>
      </w:pPr>
    </w:p>
    <w:p w14:paraId="11000000">
      <w:pPr>
        <w:pStyle w:val="Style_1"/>
      </w:pPr>
      <w:r>
        <w:t>Произведем разделение набора данных на тренировочную и валидационную части с долей тестовой части 0.2. В качестве таргета возьмем среднюю энергию электронов mean_Energy. Также зафиксируем random_state = 42, чтобы можно было воспроизводить расчеты.</w:t>
      </w:r>
    </w:p>
    <w:p w14:paraId="12000000">
      <w:pPr>
        <w:pStyle w:val="Style_1"/>
      </w:pPr>
      <w:r>
        <w:drawing>
          <wp:inline>
            <wp:extent cx="2476500" cy="218694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2476500" cy="21869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000000">
      <w:pPr>
        <w:pStyle w:val="Style_1"/>
      </w:pPr>
    </w:p>
    <w:p w14:paraId="14000000">
      <w:pPr>
        <w:pStyle w:val="Style_1"/>
      </w:pPr>
      <w:r>
        <w:t>Для этого от датасета проводится ребро к модели резделения данных на тренировочную и тестовую выборку, а затем следует провести по ребро к данным, являющимися тренировочной подвыборкой и соответственно валидационной. При это на ребрах устанавливаем фильтры так, чтобы в один элемент данных приходили тренировочные данные, а в другой тестовые.</w:t>
      </w:r>
    </w:p>
    <w:p w14:paraId="15000000">
      <w:pPr>
        <w:pStyle w:val="Style_1"/>
      </w:pPr>
    </w:p>
    <w:p w14:paraId="16000000">
      <w:pPr>
        <w:pStyle w:val="Style_1"/>
      </w:pPr>
      <w:r>
        <w:drawing>
          <wp:inline>
            <wp:extent cx="2948940" cy="222504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2948940" cy="222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000000">
      <w:pPr>
        <w:pStyle w:val="Style_1"/>
      </w:pPr>
    </w:p>
    <w:p w14:paraId="18000000">
      <w:pPr>
        <w:pStyle w:val="Style_1"/>
      </w:pPr>
      <w:r>
        <w:t>Перед построением моделей рекомендуется производить нормировку признаков – в SMILE есть немалый выбор вариантов для решения такой задачи. Возьмем в качестве примера StandardScaler. В результате значения каждого признака будут иметь нулевое среднее значение и стандартное отклонение равное единице.</w:t>
      </w:r>
    </w:p>
    <w:p w14:paraId="19000000">
      <w:pPr>
        <w:pStyle w:val="Style_1"/>
      </w:pPr>
    </w:p>
    <w:p w14:paraId="1A000000">
      <w:pPr>
        <w:pStyle w:val="Style_1"/>
      </w:pPr>
      <w:r>
        <w:drawing>
          <wp:inline>
            <wp:extent cx="3528060" cy="258318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3528060" cy="25831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000000">
      <w:pPr>
        <w:pStyle w:val="Style_1"/>
      </w:pPr>
    </w:p>
    <w:p w14:paraId="1C000000">
      <w:pPr>
        <w:pStyle w:val="Style_1"/>
      </w:pPr>
      <w:r>
        <w:t xml:space="preserve">Проведем ребро от тренировочного набора к модели нормировки признаков, а затем apply ребро от модели к валидационному  и тренировочному </w:t>
      </w:r>
      <w:r>
        <w:t>датасету. Таким образом в элементах train_scaled и val_scaled признаки нормированы.</w:t>
      </w:r>
    </w:p>
    <w:p w14:paraId="1D000000">
      <w:pPr>
        <w:pStyle w:val="Style_1"/>
      </w:pPr>
    </w:p>
    <w:p w14:paraId="1E000000">
      <w:pPr>
        <w:pStyle w:val="Style_1"/>
      </w:pPr>
      <w:r>
        <w:drawing>
          <wp:inline>
            <wp:extent cx="3649980" cy="243078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3649980" cy="24307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000000">
      <w:pPr>
        <w:pStyle w:val="Style_1"/>
      </w:pPr>
    </w:p>
    <w:p w14:paraId="20000000">
      <w:pPr>
        <w:pStyle w:val="Style_1"/>
      </w:pPr>
      <w:r>
        <w:t>Далее можно приступить к построению моделей. Для это нужно добавить узел модели, в нем выбрать соответствующую модель, после это провести ребро от тренировочных данных к модели и от модели к тестовой выборке, для которой будет производиться предсказание.</w:t>
      </w:r>
    </w:p>
    <w:p w14:paraId="21000000">
      <w:pPr>
        <w:pStyle w:val="Style_1"/>
      </w:pPr>
    </w:p>
    <w:p w14:paraId="22000000">
      <w:pPr>
        <w:pStyle w:val="Style_1"/>
      </w:pPr>
      <w:r>
        <w:drawing>
          <wp:inline>
            <wp:extent cx="3429000" cy="298704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342900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000000">
      <w:pPr>
        <w:pStyle w:val="Style_1"/>
      </w:pPr>
    </w:p>
    <w:p w14:paraId="24000000">
      <w:pPr>
        <w:pStyle w:val="Style_1"/>
      </w:pPr>
    </w:p>
    <w:p w14:paraId="25000000">
      <w:pPr>
        <w:pStyle w:val="Style_1"/>
      </w:pPr>
      <w:r>
        <w:t>На примере модели линейной регрессии можно выбирать какую величину признавать как таргетную и есть возможность выбирать гиперпараметры модели. Затем требуется нажать на кнопку "рассчитать" и запустится обучение модели. После завершения обучения модели эта кнопка станет зеленой и текст на ней поменяется на "узел рассчитан".</w:t>
      </w:r>
    </w:p>
    <w:p w14:paraId="26000000">
      <w:pPr>
        <w:pStyle w:val="Style_1"/>
      </w:pPr>
    </w:p>
    <w:p w14:paraId="27000000">
      <w:pPr>
        <w:pStyle w:val="Style_1"/>
      </w:pPr>
      <w:r>
        <w:t>В результате в элементе валидационных данных появится новый столбец с предсказаниями модели:</w:t>
      </w:r>
    </w:p>
    <w:p w14:paraId="28000000">
      <w:pPr>
        <w:pStyle w:val="Style_1"/>
      </w:pPr>
      <w:r>
        <w:drawing>
          <wp:inline>
            <wp:extent cx="3825241" cy="279654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3825241" cy="27965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000000">
      <w:pPr>
        <w:pStyle w:val="Style_1"/>
      </w:pPr>
    </w:p>
    <w:p w14:paraId="2A000000">
      <w:pPr>
        <w:pStyle w:val="Style_1"/>
      </w:pPr>
      <w:r>
        <w:t>Далее можно отфильтровать таргет и столбец с предсказаниями модели и отправить на узел модели, осуществляющей расчет регрессионных метрик модели и произвести запуск расчета метрик.</w:t>
      </w:r>
    </w:p>
    <w:p w14:paraId="2B000000">
      <w:pPr>
        <w:pStyle w:val="Style_1"/>
      </w:pPr>
    </w:p>
    <w:p w14:paraId="2C000000">
      <w:pPr>
        <w:pStyle w:val="Style_1"/>
      </w:pPr>
      <w:r>
        <w:drawing>
          <wp:inline>
            <wp:extent cx="4182061" cy="647790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4182061" cy="6477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000000">
      <w:pPr>
        <w:pStyle w:val="Style_1"/>
      </w:pPr>
      <w:r>
        <w:drawing>
          <wp:inline>
            <wp:extent cx="5158740" cy="291846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5158740" cy="29184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00000">
      <w:pPr>
        <w:pStyle w:val="Style_1"/>
      </w:pPr>
    </w:p>
    <w:p w14:paraId="2F000000">
      <w:pPr>
        <w:pStyle w:val="Style_1"/>
      </w:pPr>
      <w:r>
        <w:t>После завершения расчета метрик можно посмотреть детализацию внутри узла модели, пример представлен ниже.</w:t>
      </w:r>
    </w:p>
    <w:p w14:paraId="30000000">
      <w:pPr>
        <w:pStyle w:val="Style_1"/>
      </w:pPr>
    </w:p>
    <w:p w14:paraId="31000000">
      <w:pPr>
        <w:pStyle w:val="Style_1"/>
      </w:pPr>
    </w:p>
    <w:p w14:paraId="32000000">
      <w:pPr>
        <w:pStyle w:val="Style_1"/>
      </w:pPr>
      <w:r>
        <w:drawing>
          <wp:inline>
            <wp:extent cx="6264372" cy="2460247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6264372" cy="246024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000000">
      <w:pPr>
        <w:pStyle w:val="Style_1"/>
      </w:pPr>
    </w:p>
    <w:p w14:paraId="34000000">
      <w:pPr>
        <w:pStyle w:val="Style_1"/>
      </w:pPr>
      <w:r>
        <w:t>Можно заметить наличие основных регрессионных метрик: доля объясненной дисперсии, R^2, максимальная ошибеп, MAE, MAPE. В данном случае для линейной модели MAPE  получился почти 30%, что весьма скромно.</w:t>
      </w:r>
    </w:p>
    <w:p w14:paraId="35000000">
      <w:pPr>
        <w:pStyle w:val="Style_1"/>
      </w:pPr>
    </w:p>
    <w:p w14:paraId="36000000">
      <w:pPr>
        <w:pStyle w:val="Style_1"/>
      </w:pPr>
      <w:r>
        <w:t xml:space="preserve">В SMILE существует немало разновидностей регрессионных моделей. Можно например  посмотреть на то, как ведет себя алгоритм KNN при решении поставленной задачи. </w:t>
      </w:r>
    </w:p>
    <w:p w14:paraId="37000000">
      <w:pPr>
        <w:pStyle w:val="Style_1"/>
      </w:pPr>
      <w:r>
        <w:drawing>
          <wp:inline>
            <wp:extent cx="5052060" cy="1981200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505206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000000">
      <w:pPr>
        <w:pStyle w:val="Style_1"/>
      </w:pPr>
    </w:p>
    <w:p w14:paraId="39000000">
      <w:pPr>
        <w:pStyle w:val="Style_1"/>
      </w:pPr>
      <w:r>
        <w:t>В данном случае качество модели лучше значительно: средняя абсолютная ошибка чуть более 5 процентов.</w:t>
      </w:r>
    </w:p>
    <w:p w14:paraId="3A000000">
      <w:pPr>
        <w:pStyle w:val="Style_1"/>
      </w:pPr>
    </w:p>
    <w:p w14:paraId="3B000000">
      <w:pPr>
        <w:pStyle w:val="Style_1"/>
      </w:pPr>
      <w:r>
        <w:t>Полная диаграмма представлена на рис. ниже</w:t>
      </w:r>
    </w:p>
    <w:p w14:paraId="3C000000">
      <w:pPr>
        <w:pStyle w:val="Style_1"/>
      </w:pPr>
      <w:r>
        <w:drawing>
          <wp:inline>
            <wp:extent cx="6264371" cy="2028563"/>
            <wp:docPr hidden="false" id="26" name="Picture 26"/>
            <a:graphic>
              <a:graphicData uri="http://schemas.openxmlformats.org/drawingml/2006/picture">
                <pic:pic>
                  <pic:nvPicPr>
                    <pic:cNvPr hidden="false" id="25" name="Picture 25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6264371" cy="202856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9" Target="theme/theme1.xml" Type="http://schemas.openxmlformats.org/officeDocument/2006/relationships/theme"/>
  <Relationship Id="rId18" Target="webSettings.xml" Type="http://schemas.openxmlformats.org/officeDocument/2006/relationships/webSettings"/>
  <Relationship Id="rId17" Target="stylesWithEffects.xml" Type="http://schemas.microsoft.com/office/2007/relationships/stylesWithEffects"/>
  <Relationship Id="rId15" Target="settings.xml" Type="http://schemas.openxmlformats.org/officeDocument/2006/relationships/settings"/>
  <Relationship Id="rId11" Target="media/11.png" Type="http://schemas.openxmlformats.org/officeDocument/2006/relationships/image"/>
  <Relationship Id="rId16" Target="styles.xml" Type="http://schemas.openxmlformats.org/officeDocument/2006/relationships/styles"/>
  <Relationship Id="rId10" Target="media/10.png" Type="http://schemas.openxmlformats.org/officeDocument/2006/relationships/image"/>
  <Relationship Id="rId7" Target="media/7.png" Type="http://schemas.openxmlformats.org/officeDocument/2006/relationships/image"/>
  <Relationship Id="rId14" Target="fontTable.xml" Type="http://schemas.openxmlformats.org/officeDocument/2006/relationships/fontTable"/>
  <Relationship Id="rId6" Target="media/6.png" Type="http://schemas.openxmlformats.org/officeDocument/2006/relationships/image"/>
  <Relationship Id="rId13" Target="media/13.png" Type="http://schemas.openxmlformats.org/officeDocument/2006/relationships/image"/>
  <Relationship Id="rId5" Target="media/5.png" Type="http://schemas.openxmlformats.org/officeDocument/2006/relationships/image"/>
  <Relationship Id="rId9" Target="media/9.png" Type="http://schemas.openxmlformats.org/officeDocument/2006/relationships/image"/>
  <Relationship Id="rId4" Target="media/4.png" Type="http://schemas.openxmlformats.org/officeDocument/2006/relationships/image"/>
  <Relationship Id="rId8" Target="media/8.png" Type="http://schemas.openxmlformats.org/officeDocument/2006/relationships/image"/>
  <Relationship Id="rId3" Target="media/3.png" Type="http://schemas.openxmlformats.org/officeDocument/2006/relationships/image"/>
  <Relationship Id="rId12" Target="media/12.png" Type="http://schemas.openxmlformats.org/officeDocument/2006/relationships/image"/>
  <Relationship Id="rId2" Target="media/2.png" Type="http://schemas.openxmlformats.org/officeDocument/2006/relationships/imag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MyOffice-CoreFramework-Windows/25-982.666.6545.616.0@RELEASE-DESKTOP-WASSABI_HOME-RC-RENEW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2025-05-14T20:54:04Z</dcterms:modified>
</cp:coreProperties>
</file>