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FCD7" w14:textId="46B163E0" w:rsidR="007B751B" w:rsidRDefault="00A46761" w:rsidP="00A46761">
      <w:pPr>
        <w:jc w:val="center"/>
        <w:rPr>
          <w:rFonts w:ascii="Times New Roman" w:hAnsi="Times New Roman" w:cs="Times New Roman"/>
          <w:b/>
          <w:bCs/>
          <w:sz w:val="32"/>
          <w:szCs w:val="32"/>
        </w:rPr>
      </w:pPr>
      <w:r>
        <w:rPr>
          <w:rFonts w:ascii="Times New Roman" w:hAnsi="Times New Roman" w:cs="Times New Roman"/>
          <w:b/>
          <w:bCs/>
          <w:sz w:val="32"/>
          <w:szCs w:val="32"/>
        </w:rPr>
        <w:t>21AIC401T – Inferential Statistics and Predictive Analysis</w:t>
      </w:r>
    </w:p>
    <w:p w14:paraId="33B023F7" w14:textId="77777777" w:rsidR="00A46761" w:rsidRPr="00A46761" w:rsidRDefault="00A46761" w:rsidP="00A46761">
      <w:pPr>
        <w:jc w:val="center"/>
        <w:rPr>
          <w:rFonts w:ascii="Times New Roman" w:hAnsi="Times New Roman" w:cs="Times New Roman"/>
          <w:b/>
          <w:bCs/>
          <w:sz w:val="12"/>
          <w:szCs w:val="12"/>
        </w:rPr>
      </w:pPr>
    </w:p>
    <w:p w14:paraId="032D5249" w14:textId="7A1728A8" w:rsidR="00A46761" w:rsidRDefault="00A46761" w:rsidP="00A46761">
      <w:pPr>
        <w:jc w:val="center"/>
        <w:rPr>
          <w:rFonts w:ascii="Times New Roman" w:hAnsi="Times New Roman" w:cs="Times New Roman"/>
          <w:b/>
          <w:bCs/>
          <w:sz w:val="32"/>
          <w:szCs w:val="32"/>
        </w:rPr>
      </w:pPr>
      <w:r>
        <w:rPr>
          <w:rFonts w:ascii="Times New Roman" w:hAnsi="Times New Roman" w:cs="Times New Roman"/>
          <w:b/>
          <w:bCs/>
          <w:sz w:val="32"/>
          <w:szCs w:val="32"/>
        </w:rPr>
        <w:t>A Case Study Report</w:t>
      </w:r>
    </w:p>
    <w:p w14:paraId="6EEB5575" w14:textId="77777777" w:rsidR="00A46761" w:rsidRDefault="00A46761" w:rsidP="00A46761">
      <w:pPr>
        <w:rPr>
          <w:rFonts w:ascii="Times New Roman" w:hAnsi="Times New Roman" w:cs="Times New Roman"/>
          <w:b/>
          <w:bCs/>
          <w:sz w:val="32"/>
          <w:szCs w:val="32"/>
        </w:rPr>
      </w:pPr>
    </w:p>
    <w:p w14:paraId="38A927F5" w14:textId="55CB34AF" w:rsidR="00A46761" w:rsidRDefault="00A46761" w:rsidP="00A46761">
      <w:pPr>
        <w:rPr>
          <w:rFonts w:ascii="Times New Roman" w:hAnsi="Times New Roman" w:cs="Times New Roman"/>
          <w:sz w:val="28"/>
          <w:szCs w:val="28"/>
        </w:rPr>
      </w:pPr>
      <w:r>
        <w:rPr>
          <w:rFonts w:ascii="Times New Roman" w:hAnsi="Times New Roman" w:cs="Times New Roman"/>
          <w:b/>
          <w:bCs/>
          <w:sz w:val="28"/>
          <w:szCs w:val="28"/>
        </w:rPr>
        <w:t xml:space="preserve">Topic: </w:t>
      </w:r>
      <w:r w:rsidRPr="00A46761">
        <w:rPr>
          <w:rFonts w:ascii="Times New Roman" w:hAnsi="Times New Roman" w:cs="Times New Roman"/>
          <w:sz w:val="28"/>
          <w:szCs w:val="28"/>
        </w:rPr>
        <w:t>Customer Churn Prediction — Model Development, Validation, and Deployment</w:t>
      </w:r>
    </w:p>
    <w:p w14:paraId="4455DFC0" w14:textId="77777777" w:rsidR="00537D5B" w:rsidRDefault="00A46761" w:rsidP="002E4940">
      <w:pPr>
        <w:rPr>
          <w:rFonts w:ascii="Times New Roman" w:hAnsi="Times New Roman" w:cs="Times New Roman"/>
          <w:b/>
          <w:bCs/>
          <w:sz w:val="28"/>
          <w:szCs w:val="28"/>
        </w:rPr>
      </w:pPr>
      <w:r w:rsidRPr="00A46761">
        <w:rPr>
          <w:rFonts w:ascii="Times New Roman" w:hAnsi="Times New Roman" w:cs="Times New Roman"/>
          <w:b/>
          <w:bCs/>
          <w:sz w:val="28"/>
          <w:szCs w:val="28"/>
        </w:rPr>
        <w:t xml:space="preserve">Team Members: </w:t>
      </w:r>
      <w:r w:rsidR="00537D5B">
        <w:rPr>
          <w:rFonts w:ascii="Times New Roman" w:hAnsi="Times New Roman" w:cs="Times New Roman"/>
          <w:b/>
          <w:bCs/>
          <w:sz w:val="28"/>
          <w:szCs w:val="28"/>
        </w:rPr>
        <w:t xml:space="preserve">  </w:t>
      </w:r>
    </w:p>
    <w:p w14:paraId="2998A8DD" w14:textId="03772D1B" w:rsidR="00537D5B" w:rsidRDefault="00537D5B" w:rsidP="002E4940">
      <w:pPr>
        <w:rPr>
          <w:rFonts w:ascii="Times New Roman" w:hAnsi="Times New Roman" w:cs="Times New Roman"/>
          <w:sz w:val="28"/>
          <w:szCs w:val="28"/>
        </w:rPr>
      </w:pPr>
      <w:r>
        <w:rPr>
          <w:rFonts w:ascii="Times New Roman" w:hAnsi="Times New Roman" w:cs="Times New Roman"/>
          <w:sz w:val="28"/>
          <w:szCs w:val="28"/>
        </w:rPr>
        <w:t>1.</w:t>
      </w:r>
      <w:r w:rsidR="0028798C">
        <w:rPr>
          <w:rFonts w:ascii="Times New Roman" w:hAnsi="Times New Roman" w:cs="Times New Roman"/>
          <w:sz w:val="28"/>
          <w:szCs w:val="28"/>
        </w:rPr>
        <w:t xml:space="preserve"> Aaditya Goshike</w:t>
      </w:r>
      <w:r>
        <w:rPr>
          <w:rFonts w:ascii="Times New Roman" w:hAnsi="Times New Roman" w:cs="Times New Roman"/>
          <w:sz w:val="28"/>
          <w:szCs w:val="28"/>
        </w:rPr>
        <w:t>– RA22110470100</w:t>
      </w:r>
      <w:r w:rsidR="00491BCC">
        <w:rPr>
          <w:rFonts w:ascii="Times New Roman" w:hAnsi="Times New Roman" w:cs="Times New Roman"/>
          <w:sz w:val="28"/>
          <w:szCs w:val="28"/>
        </w:rPr>
        <w:t>09</w:t>
      </w:r>
    </w:p>
    <w:p w14:paraId="69F5D378" w14:textId="784D7660" w:rsidR="00537D5B" w:rsidRDefault="00537D5B" w:rsidP="00537D5B">
      <w:pPr>
        <w:rPr>
          <w:rFonts w:ascii="Times New Roman" w:hAnsi="Times New Roman" w:cs="Times New Roman"/>
          <w:sz w:val="28"/>
          <w:szCs w:val="28"/>
        </w:rPr>
      </w:pPr>
      <w:r>
        <w:rPr>
          <w:rFonts w:ascii="Times New Roman" w:hAnsi="Times New Roman" w:cs="Times New Roman"/>
          <w:sz w:val="28"/>
          <w:szCs w:val="28"/>
        </w:rPr>
        <w:t>2.</w:t>
      </w:r>
      <w:r w:rsidR="00667C83">
        <w:rPr>
          <w:rFonts w:ascii="Times New Roman" w:hAnsi="Times New Roman" w:cs="Times New Roman"/>
          <w:sz w:val="28"/>
          <w:szCs w:val="28"/>
        </w:rPr>
        <w:t xml:space="preserve"> </w:t>
      </w:r>
      <w:r w:rsidR="00491BCC">
        <w:rPr>
          <w:rFonts w:ascii="Times New Roman" w:hAnsi="Times New Roman" w:cs="Times New Roman"/>
          <w:sz w:val="28"/>
          <w:szCs w:val="28"/>
        </w:rPr>
        <w:t>M Benarjee</w:t>
      </w:r>
      <w:r>
        <w:rPr>
          <w:rFonts w:ascii="Times New Roman" w:hAnsi="Times New Roman" w:cs="Times New Roman"/>
          <w:sz w:val="28"/>
          <w:szCs w:val="28"/>
        </w:rPr>
        <w:t>– RA22110470100</w:t>
      </w:r>
      <w:r w:rsidR="00491BCC">
        <w:rPr>
          <w:rFonts w:ascii="Times New Roman" w:hAnsi="Times New Roman" w:cs="Times New Roman"/>
          <w:sz w:val="28"/>
          <w:szCs w:val="28"/>
        </w:rPr>
        <w:t>12</w:t>
      </w:r>
    </w:p>
    <w:p w14:paraId="4E02AEFC" w14:textId="2CF22A0D" w:rsidR="00A46761" w:rsidRPr="002E4940" w:rsidRDefault="00537D5B" w:rsidP="002E4940">
      <w:pPr>
        <w:rPr>
          <w:rFonts w:ascii="Times New Roman" w:hAnsi="Times New Roman" w:cs="Times New Roman"/>
          <w:b/>
          <w:bCs/>
          <w:sz w:val="28"/>
          <w:szCs w:val="28"/>
        </w:rPr>
      </w:pPr>
      <w:r w:rsidRPr="00537D5B">
        <w:rPr>
          <w:rFonts w:ascii="Times New Roman" w:hAnsi="Times New Roman" w:cs="Times New Roman"/>
          <w:b/>
          <w:bCs/>
          <w:sz w:val="28"/>
          <w:szCs w:val="28"/>
        </w:rPr>
        <w:t xml:space="preserve">Branch: </w:t>
      </w:r>
      <w:r w:rsidR="008039BE">
        <w:rPr>
          <w:rFonts w:ascii="Times New Roman" w:hAnsi="Times New Roman" w:cs="Times New Roman"/>
          <w:sz w:val="28"/>
          <w:szCs w:val="28"/>
        </w:rPr>
        <w:t xml:space="preserve">B. Tech. - </w:t>
      </w:r>
      <w:r>
        <w:rPr>
          <w:rFonts w:ascii="Times New Roman" w:hAnsi="Times New Roman" w:cs="Times New Roman"/>
          <w:sz w:val="28"/>
          <w:szCs w:val="28"/>
        </w:rPr>
        <w:t>Artificial Intelligence</w:t>
      </w:r>
      <w:r w:rsidR="008039BE">
        <w:rPr>
          <w:rFonts w:ascii="Times New Roman" w:hAnsi="Times New Roman" w:cs="Times New Roman"/>
          <w:sz w:val="28"/>
          <w:szCs w:val="28"/>
        </w:rPr>
        <w:t xml:space="preserve"> - A</w:t>
      </w:r>
      <w:r w:rsidR="00A46761">
        <w:rPr>
          <w:rFonts w:ascii="Times New Roman" w:hAnsi="Times New Roman" w:cs="Times New Roman"/>
          <w:b/>
          <w:bCs/>
          <w:sz w:val="28"/>
          <w:szCs w:val="28"/>
        </w:rPr>
        <w:br/>
      </w:r>
      <w:r w:rsidR="00A46761">
        <w:rPr>
          <w:rFonts w:ascii="Times New Roman" w:hAnsi="Times New Roman" w:cs="Times New Roman"/>
          <w:b/>
          <w:bCs/>
          <w:sz w:val="28"/>
          <w:szCs w:val="28"/>
        </w:rPr>
        <w:br/>
        <w:t>________________________________________________________________</w:t>
      </w:r>
    </w:p>
    <w:p w14:paraId="33EBF6E2" w14:textId="23E91297" w:rsidR="00A46761" w:rsidRDefault="00A46761" w:rsidP="00A46761">
      <w:pPr>
        <w:rPr>
          <w:rFonts w:ascii="Times New Roman" w:hAnsi="Times New Roman" w:cs="Times New Roman"/>
          <w:b/>
          <w:bCs/>
          <w:sz w:val="28"/>
          <w:szCs w:val="28"/>
        </w:rPr>
      </w:pPr>
      <w:r>
        <w:rPr>
          <w:rFonts w:ascii="Times New Roman" w:hAnsi="Times New Roman" w:cs="Times New Roman"/>
          <w:b/>
          <w:bCs/>
          <w:sz w:val="28"/>
          <w:szCs w:val="28"/>
        </w:rPr>
        <w:br/>
      </w:r>
      <w:r w:rsidR="0034326C">
        <w:rPr>
          <w:rFonts w:ascii="Times New Roman" w:hAnsi="Times New Roman" w:cs="Times New Roman"/>
          <w:b/>
          <w:bCs/>
          <w:sz w:val="28"/>
          <w:szCs w:val="28"/>
        </w:rPr>
        <w:t>Introduction</w:t>
      </w:r>
    </w:p>
    <w:p w14:paraId="79FFB1E0" w14:textId="77777777" w:rsidR="00491BCC" w:rsidRPr="00491BCC" w:rsidRDefault="00491BCC" w:rsidP="00491BCC">
      <w:pPr>
        <w:jc w:val="both"/>
        <w:rPr>
          <w:rFonts w:ascii="Times New Roman" w:hAnsi="Times New Roman" w:cs="Times New Roman"/>
          <w:sz w:val="24"/>
          <w:szCs w:val="24"/>
        </w:rPr>
      </w:pPr>
      <w:r w:rsidRPr="00491BCC">
        <w:rPr>
          <w:rFonts w:ascii="Times New Roman" w:hAnsi="Times New Roman" w:cs="Times New Roman"/>
          <w:sz w:val="24"/>
          <w:szCs w:val="24"/>
        </w:rPr>
        <w:t>Customer churn is an important indicator of a company’s health and competitiveness, especially in industries where customer acquisition costs are high and switching barriers are low. In the telecom industry, customers can easily migrate to alternative service providers offering lower prices, better data plans, or superior customer support. Predicting churn allows organizations to identify dissatisfied customers and design interventions before they leave.</w:t>
      </w:r>
    </w:p>
    <w:p w14:paraId="6157D9C8" w14:textId="77777777" w:rsidR="00491BCC" w:rsidRPr="00491BCC" w:rsidRDefault="00491BCC" w:rsidP="00491BCC">
      <w:pPr>
        <w:jc w:val="both"/>
        <w:rPr>
          <w:rFonts w:ascii="Times New Roman" w:hAnsi="Times New Roman" w:cs="Times New Roman"/>
          <w:sz w:val="24"/>
          <w:szCs w:val="24"/>
        </w:rPr>
      </w:pPr>
      <w:r w:rsidRPr="00491BCC">
        <w:rPr>
          <w:rFonts w:ascii="Times New Roman" w:hAnsi="Times New Roman" w:cs="Times New Roman"/>
          <w:sz w:val="24"/>
          <w:szCs w:val="24"/>
        </w:rPr>
        <w:t>The objective of this case study is to develop, validate, and deploy predictive models that accurately forecast which customers are at the highest risk of churning. By applying machine learning algorithms, we can not only predict churn but also interpret the key behavioral and demographic factors that drive customer decisions.</w:t>
      </w:r>
    </w:p>
    <w:p w14:paraId="024AADCB" w14:textId="77777777" w:rsidR="00491BCC" w:rsidRPr="00491BCC" w:rsidRDefault="00491BCC" w:rsidP="00491BCC">
      <w:pPr>
        <w:jc w:val="both"/>
        <w:rPr>
          <w:rFonts w:ascii="Times New Roman" w:hAnsi="Times New Roman" w:cs="Times New Roman"/>
          <w:sz w:val="24"/>
          <w:szCs w:val="24"/>
        </w:rPr>
      </w:pPr>
      <w:r w:rsidRPr="00491BCC">
        <w:rPr>
          <w:rFonts w:ascii="Times New Roman" w:hAnsi="Times New Roman" w:cs="Times New Roman"/>
          <w:sz w:val="24"/>
          <w:szCs w:val="24"/>
        </w:rPr>
        <w:t>This analysis uses the Iranian Churn Dataset, a real-world dataset containing thousands of telecom customer records. The methodology integrates inferential statistics with predictive modeling, demonstrating the synergy between theory and applied analytics.</w:t>
      </w:r>
    </w:p>
    <w:p w14:paraId="05F9F9F3" w14:textId="77777777" w:rsidR="00491BCC" w:rsidRPr="00491BCC" w:rsidRDefault="00491BCC" w:rsidP="00491BCC">
      <w:pPr>
        <w:jc w:val="both"/>
        <w:rPr>
          <w:rFonts w:ascii="Times New Roman" w:hAnsi="Times New Roman" w:cs="Times New Roman"/>
          <w:sz w:val="24"/>
          <w:szCs w:val="24"/>
        </w:rPr>
      </w:pPr>
      <w:r w:rsidRPr="00491BCC">
        <w:rPr>
          <w:rFonts w:ascii="Times New Roman" w:hAnsi="Times New Roman" w:cs="Times New Roman"/>
          <w:sz w:val="24"/>
          <w:szCs w:val="24"/>
        </w:rPr>
        <w:t>The study uses Logistic Regression to identify linear relationships and Random Forest (CHAID-like) modeling to uncover complex, nonlinear interactions. The combination offers both interpretability and predictive strength.</w:t>
      </w:r>
    </w:p>
    <w:p w14:paraId="61F69168" w14:textId="77777777" w:rsidR="00491BCC" w:rsidRPr="00491BCC" w:rsidRDefault="00491BCC" w:rsidP="00491BCC">
      <w:pPr>
        <w:jc w:val="both"/>
        <w:rPr>
          <w:rFonts w:ascii="Times New Roman" w:hAnsi="Times New Roman" w:cs="Times New Roman"/>
          <w:sz w:val="24"/>
          <w:szCs w:val="24"/>
        </w:rPr>
      </w:pPr>
      <w:r w:rsidRPr="00491BCC">
        <w:rPr>
          <w:rFonts w:ascii="Times New Roman" w:hAnsi="Times New Roman" w:cs="Times New Roman"/>
          <w:sz w:val="24"/>
          <w:szCs w:val="24"/>
        </w:rPr>
        <w:t>In addition to model building, the study emphasizes model validation, comparison, and deployment—core elements of predictive analytics. The project concludes by proposing a systematic plan for model monitoring and updating, ensuring its sustainability in production environments.</w:t>
      </w:r>
    </w:p>
    <w:p w14:paraId="4B35211B" w14:textId="77777777" w:rsidR="00491BCC" w:rsidRPr="00491BCC" w:rsidRDefault="00491BCC" w:rsidP="00491BCC">
      <w:pPr>
        <w:jc w:val="both"/>
        <w:rPr>
          <w:rFonts w:ascii="Times New Roman" w:hAnsi="Times New Roman" w:cs="Times New Roman"/>
          <w:sz w:val="24"/>
          <w:szCs w:val="24"/>
        </w:rPr>
      </w:pPr>
      <w:r w:rsidRPr="00491BCC">
        <w:rPr>
          <w:rFonts w:ascii="Times New Roman" w:hAnsi="Times New Roman" w:cs="Times New Roman"/>
          <w:sz w:val="24"/>
          <w:szCs w:val="24"/>
        </w:rPr>
        <w:t xml:space="preserve">This work not only supports data-driven decision-making but also exemplifies the application of machine learning in solving real-world business problems. It showcases how statistical </w:t>
      </w:r>
      <w:r w:rsidRPr="00491BCC">
        <w:rPr>
          <w:rFonts w:ascii="Times New Roman" w:hAnsi="Times New Roman" w:cs="Times New Roman"/>
          <w:sz w:val="24"/>
          <w:szCs w:val="24"/>
        </w:rPr>
        <w:lastRenderedPageBreak/>
        <w:t>reasoning, domain understanding, and computational modeling together create tangible business value.</w:t>
      </w:r>
    </w:p>
    <w:p w14:paraId="170BC50C" w14:textId="77777777" w:rsidR="0034326C" w:rsidRDefault="0034326C" w:rsidP="0034326C">
      <w:pPr>
        <w:jc w:val="both"/>
        <w:rPr>
          <w:rFonts w:ascii="Times New Roman" w:hAnsi="Times New Roman" w:cs="Times New Roman"/>
          <w:sz w:val="24"/>
          <w:szCs w:val="24"/>
        </w:rPr>
      </w:pPr>
    </w:p>
    <w:p w14:paraId="5DC547B3" w14:textId="7C4CA87F" w:rsidR="0034326C" w:rsidRDefault="0034326C" w:rsidP="0034326C">
      <w:pPr>
        <w:jc w:val="both"/>
        <w:rPr>
          <w:rFonts w:ascii="Times New Roman" w:hAnsi="Times New Roman" w:cs="Times New Roman"/>
          <w:b/>
          <w:bCs/>
          <w:sz w:val="28"/>
          <w:szCs w:val="28"/>
        </w:rPr>
      </w:pPr>
      <w:r>
        <w:rPr>
          <w:rFonts w:ascii="Times New Roman" w:hAnsi="Times New Roman" w:cs="Times New Roman"/>
          <w:b/>
          <w:bCs/>
          <w:sz w:val="28"/>
          <w:szCs w:val="28"/>
        </w:rPr>
        <w:t>Dataset Used</w:t>
      </w:r>
    </w:p>
    <w:p w14:paraId="33746EC4"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dataset used for this study, titled “Iranian Churn.csv”, represents a real-world customer base from a telecom company. It includes demographic, behavioral, and billing information necessary for predicting whether a customer will churn.</w:t>
      </w:r>
    </w:p>
    <w:p w14:paraId="14CA2EAC"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Each record represents a unique customer with a mix of categorical and numerical attributes, along with a target variable named ‘Churn’, which indicates whether the customer has left the service. The dataset is moderately balanced, providing a solid foundation for model training and evaluation.</w:t>
      </w:r>
    </w:p>
    <w:p w14:paraId="2B6D2B51"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Overview of Dataset Attributes</w:t>
      </w:r>
    </w:p>
    <w:p w14:paraId="16238A0F" w14:textId="77777777" w:rsidR="00491BCC" w:rsidRPr="00491BCC" w:rsidRDefault="00491BCC" w:rsidP="00491BCC">
      <w:pPr>
        <w:numPr>
          <w:ilvl w:val="0"/>
          <w:numId w:val="9"/>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Demographics:</w:t>
      </w:r>
      <w:r w:rsidRPr="00491BCC">
        <w:rPr>
          <w:rFonts w:ascii="Times New Roman" w:hAnsi="Times New Roman" w:cs="Times New Roman"/>
          <w:sz w:val="24"/>
          <w:szCs w:val="24"/>
        </w:rPr>
        <w:t xml:space="preserve"> Information such as gender, age, and region captures customer profiles.</w:t>
      </w:r>
    </w:p>
    <w:p w14:paraId="6C742DCC" w14:textId="77777777" w:rsidR="00491BCC" w:rsidRPr="00491BCC" w:rsidRDefault="00491BCC" w:rsidP="00491BCC">
      <w:pPr>
        <w:numPr>
          <w:ilvl w:val="0"/>
          <w:numId w:val="9"/>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Service-related Data:</w:t>
      </w:r>
      <w:r w:rsidRPr="00491BCC">
        <w:rPr>
          <w:rFonts w:ascii="Times New Roman" w:hAnsi="Times New Roman" w:cs="Times New Roman"/>
          <w:sz w:val="24"/>
          <w:szCs w:val="24"/>
        </w:rPr>
        <w:t xml:space="preserve"> Features like tenure, contract type, and internet service detail the customer’s engagement level.</w:t>
      </w:r>
    </w:p>
    <w:p w14:paraId="400DEED5" w14:textId="77777777" w:rsidR="00491BCC" w:rsidRPr="00491BCC" w:rsidRDefault="00491BCC" w:rsidP="00491BCC">
      <w:pPr>
        <w:numPr>
          <w:ilvl w:val="0"/>
          <w:numId w:val="9"/>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Billing Information:</w:t>
      </w:r>
      <w:r w:rsidRPr="00491BCC">
        <w:rPr>
          <w:rFonts w:ascii="Times New Roman" w:hAnsi="Times New Roman" w:cs="Times New Roman"/>
          <w:sz w:val="24"/>
          <w:szCs w:val="24"/>
        </w:rPr>
        <w:t xml:space="preserve"> Includes variables like monthly charges, total charges, and payment method.</w:t>
      </w:r>
    </w:p>
    <w:p w14:paraId="719047CE" w14:textId="77777777" w:rsidR="00491BCC" w:rsidRPr="00491BCC" w:rsidRDefault="00491BCC" w:rsidP="00491BCC">
      <w:pPr>
        <w:numPr>
          <w:ilvl w:val="0"/>
          <w:numId w:val="9"/>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Target Variable:</w:t>
      </w:r>
      <w:r w:rsidRPr="00491BCC">
        <w:rPr>
          <w:rFonts w:ascii="Times New Roman" w:hAnsi="Times New Roman" w:cs="Times New Roman"/>
          <w:sz w:val="24"/>
          <w:szCs w:val="24"/>
        </w:rPr>
        <w:t xml:space="preserve"> A binary label where 1 indicates churn and 0 indicates retention.</w:t>
      </w:r>
    </w:p>
    <w:p w14:paraId="471F8F4A"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 xml:space="preserve">The dataset comprises approximately </w:t>
      </w:r>
      <w:r w:rsidRPr="00491BCC">
        <w:rPr>
          <w:rFonts w:ascii="Times New Roman" w:hAnsi="Times New Roman" w:cs="Times New Roman"/>
          <w:b/>
          <w:bCs/>
          <w:sz w:val="24"/>
          <w:szCs w:val="24"/>
        </w:rPr>
        <w:t>3,000 rows</w:t>
      </w:r>
      <w:r w:rsidRPr="00491BCC">
        <w:rPr>
          <w:rFonts w:ascii="Times New Roman" w:hAnsi="Times New Roman" w:cs="Times New Roman"/>
          <w:sz w:val="24"/>
          <w:szCs w:val="24"/>
        </w:rPr>
        <w:t xml:space="preserve"> and </w:t>
      </w:r>
      <w:r w:rsidRPr="00491BCC">
        <w:rPr>
          <w:rFonts w:ascii="Times New Roman" w:hAnsi="Times New Roman" w:cs="Times New Roman"/>
          <w:b/>
          <w:bCs/>
          <w:sz w:val="24"/>
          <w:szCs w:val="24"/>
        </w:rPr>
        <w:t>20 columns</w:t>
      </w:r>
      <w:r w:rsidRPr="00491BCC">
        <w:rPr>
          <w:rFonts w:ascii="Times New Roman" w:hAnsi="Times New Roman" w:cs="Times New Roman"/>
          <w:sz w:val="24"/>
          <w:szCs w:val="24"/>
        </w:rPr>
        <w:t>, which allows for meaningful statistical analysis without computational overload.</w:t>
      </w:r>
    </w:p>
    <w:p w14:paraId="20C8E1A0"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Relevance of the Dataset</w:t>
      </w:r>
    </w:p>
    <w:p w14:paraId="55848580"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This dataset is suitable for churn analysis because it reflects diverse customer behaviors and multiple factors influencing churn. Features such as tenure (duration of customer relationship) and contract type directly impact churn decisions. Billing attributes reveal spending behavior, while demographic variables provide context for segmentation and targeted marketing.</w:t>
      </w:r>
    </w:p>
    <w:p w14:paraId="58025930"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Moreover, the dataset’s moderate size allows for efficient processing in Python and sufficient variability for machine learning models to generalize well.</w:t>
      </w:r>
    </w:p>
    <w:p w14:paraId="6D247089"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lastRenderedPageBreak/>
        <w:t>In essence, this dataset serves as a microcosm of the telecom industry’s customer base, where understanding the reasons for attrition can help optimize retention strategies, reduce churn rate, and improve long-term profitability.</w:t>
      </w:r>
    </w:p>
    <w:p w14:paraId="2CC77E7F" w14:textId="77777777" w:rsidR="00367460" w:rsidRPr="002E4940" w:rsidRDefault="00367460" w:rsidP="00355892">
      <w:pPr>
        <w:spacing w:line="360" w:lineRule="auto"/>
        <w:jc w:val="both"/>
        <w:rPr>
          <w:rFonts w:ascii="Times New Roman" w:hAnsi="Times New Roman" w:cs="Times New Roman"/>
          <w:sz w:val="8"/>
          <w:szCs w:val="8"/>
        </w:rPr>
      </w:pPr>
    </w:p>
    <w:p w14:paraId="781C4AB3" w14:textId="021E0F5A" w:rsidR="0034326C" w:rsidRPr="0034326C" w:rsidRDefault="0034326C" w:rsidP="00355892">
      <w:pPr>
        <w:spacing w:line="360" w:lineRule="auto"/>
        <w:jc w:val="both"/>
        <w:rPr>
          <w:rFonts w:ascii="Times New Roman" w:hAnsi="Times New Roman" w:cs="Times New Roman"/>
          <w:b/>
          <w:bCs/>
          <w:sz w:val="28"/>
          <w:szCs w:val="28"/>
        </w:rPr>
      </w:pPr>
      <w:r w:rsidRPr="0034326C">
        <w:rPr>
          <w:rFonts w:ascii="Times New Roman" w:hAnsi="Times New Roman" w:cs="Times New Roman"/>
          <w:b/>
          <w:bCs/>
          <w:sz w:val="28"/>
          <w:szCs w:val="28"/>
        </w:rPr>
        <w:t>Data Preparation</w:t>
      </w:r>
    </w:p>
    <w:p w14:paraId="0E29D258"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Data preparation is the backbone of predictive modeling. It transforms raw, inconsistent, and sometimes incomplete data into a format that machine learning algorithms can effectively interpret. The process ensures quality, reliability, and consistency across variables.</w:t>
      </w:r>
    </w:p>
    <w:p w14:paraId="75773B27"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stages of preparation—data cleaning, imputation, transformation, scaling, and partitioning—collectively aim to eliminate noise and highlight meaningful patterns. Each step in this process contributes to improving model accuracy, interpretability, and robustness.</w:t>
      </w:r>
    </w:p>
    <w:p w14:paraId="7A25486B" w14:textId="77777777" w:rsidR="00491BCC" w:rsidRPr="00491BCC" w:rsidRDefault="001828C9" w:rsidP="00491BCC">
      <w:pPr>
        <w:spacing w:line="360" w:lineRule="auto"/>
        <w:jc w:val="both"/>
        <w:rPr>
          <w:rFonts w:ascii="Times New Roman" w:hAnsi="Times New Roman" w:cs="Times New Roman"/>
          <w:sz w:val="24"/>
          <w:szCs w:val="24"/>
        </w:rPr>
      </w:pPr>
      <w:r w:rsidRPr="001828C9">
        <w:rPr>
          <w:rFonts w:ascii="Times New Roman" w:hAnsi="Times New Roman" w:cs="Times New Roman"/>
          <w:noProof/>
          <w:sz w:val="24"/>
          <w:szCs w:val="24"/>
        </w:rPr>
        <w:pict w14:anchorId="1A785633">
          <v:rect id="_x0000_i1036" alt="" style="width:451.3pt;height:.05pt;mso-width-percent:0;mso-height-percent:0;mso-width-percent:0;mso-height-percent:0" o:hralign="center" o:hrstd="t" o:hr="t" fillcolor="#a0a0a0" stroked="f"/>
        </w:pict>
      </w:r>
    </w:p>
    <w:p w14:paraId="03581774"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a. Data Cleaning</w:t>
      </w:r>
    </w:p>
    <w:p w14:paraId="658863E0"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Data cleaning was conducted to ensure the dataset’s accuracy and consistency. The initial exploration revealed minor issues such as inconsistent capitalization, duplicate records, and unformatted text fields. These were systematically corrected.</w:t>
      </w:r>
    </w:p>
    <w:p w14:paraId="3C6C850E"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Duplicate entries were removed to prevent overrepresentation of specific customer segments. Irrelevant columns, if any, were dropped after checking their correlation with the target variable.</w:t>
      </w:r>
    </w:p>
    <w:p w14:paraId="2A394D84"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next step involved verifying data types. Columns representing numeric data (like MonthlyCharges and Tenure) were converted from string formats to numerical types. Categorical fields (like PaymentMethod) were standardized by removing trailing spaces or special characters.</w:t>
      </w:r>
    </w:p>
    <w:p w14:paraId="735F9C37"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Data cleaning is essential not only for model accuracy but also for preserving statistical validity. Inaccurate or redundant data can distort patterns, leading to incorrect conclusions about churn determinants.</w:t>
      </w:r>
    </w:p>
    <w:p w14:paraId="35F8CCF6"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By the end of this step, the dataset was structured, readable, and free of duplicates, ready for deeper preprocessing.</w:t>
      </w:r>
    </w:p>
    <w:p w14:paraId="24DBD143" w14:textId="77777777" w:rsidR="00491BCC" w:rsidRPr="00491BCC" w:rsidRDefault="001828C9" w:rsidP="00491BCC">
      <w:pPr>
        <w:spacing w:line="360" w:lineRule="auto"/>
        <w:jc w:val="both"/>
        <w:rPr>
          <w:rFonts w:ascii="Times New Roman" w:hAnsi="Times New Roman" w:cs="Times New Roman"/>
          <w:sz w:val="24"/>
          <w:szCs w:val="24"/>
        </w:rPr>
      </w:pPr>
      <w:r w:rsidRPr="001828C9">
        <w:rPr>
          <w:rFonts w:ascii="Times New Roman" w:hAnsi="Times New Roman" w:cs="Times New Roman"/>
          <w:noProof/>
          <w:sz w:val="24"/>
          <w:szCs w:val="24"/>
        </w:rPr>
        <w:pict w14:anchorId="6B8F46ED">
          <v:rect id="_x0000_i1035" alt="" style="width:451.3pt;height:.05pt;mso-width-percent:0;mso-height-percent:0;mso-width-percent:0;mso-height-percent:0" o:hralign="center" o:hrstd="t" o:hr="t" fillcolor="#a0a0a0" stroked="f"/>
        </w:pict>
      </w:r>
    </w:p>
    <w:p w14:paraId="1FF7AD4A"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lastRenderedPageBreak/>
        <w:t>b. Handling Missing Values and Outliers</w:t>
      </w:r>
    </w:p>
    <w:p w14:paraId="7BBFC154"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Missing values and outliers can significantly distort statistical results and model predictions. In this dataset, missing data was relatively minimal but was still handled with caution.</w:t>
      </w:r>
    </w:p>
    <w:p w14:paraId="06689E5E"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For numerical features, missing values were replaced with the median to maintain the central tendency while reducing the effect of skewness. For categorical variables, the mode was used, ensuring that the most frequent and representative class filled missing gaps.</w:t>
      </w:r>
    </w:p>
    <w:p w14:paraId="76903085"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Outliers were detected using box plots and interquartile range (IQR). While outliers can indicate important customer behaviors (like unusually high bills), extreme anomalies were capped to maintain modeling stability.</w:t>
      </w:r>
    </w:p>
    <w:p w14:paraId="14A25D3F"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This dual strategy of imputation and capping preserved genuine patterns while minimizing distortive noise.</w:t>
      </w:r>
    </w:p>
    <w:p w14:paraId="33E00856"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Addressing these issues early helped prevent biased model coefficients and ensured better generalization on unseen data.</w:t>
      </w:r>
    </w:p>
    <w:p w14:paraId="34ACABE7" w14:textId="77777777" w:rsidR="00491BCC" w:rsidRPr="00491BCC" w:rsidRDefault="001828C9" w:rsidP="00491BCC">
      <w:pPr>
        <w:spacing w:line="360" w:lineRule="auto"/>
        <w:jc w:val="both"/>
        <w:rPr>
          <w:rFonts w:ascii="Times New Roman" w:hAnsi="Times New Roman" w:cs="Times New Roman"/>
          <w:sz w:val="24"/>
          <w:szCs w:val="24"/>
        </w:rPr>
      </w:pPr>
      <w:r w:rsidRPr="001828C9">
        <w:rPr>
          <w:rFonts w:ascii="Times New Roman" w:hAnsi="Times New Roman" w:cs="Times New Roman"/>
          <w:noProof/>
          <w:sz w:val="24"/>
          <w:szCs w:val="24"/>
        </w:rPr>
        <w:pict w14:anchorId="73F78C5F">
          <v:rect id="_x0000_i1034" alt="" style="width:451.3pt;height:.05pt;mso-width-percent:0;mso-height-percent:0;mso-width-percent:0;mso-height-percent:0" o:hralign="center" o:hrstd="t" o:hr="t" fillcolor="#a0a0a0" stroked="f"/>
        </w:pict>
      </w:r>
    </w:p>
    <w:p w14:paraId="5F4B7C88"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c. Data Transformation and Encoding</w:t>
      </w:r>
    </w:p>
    <w:p w14:paraId="6DF54F69"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Machine learning algorithms operate on numerical data. Therefore, categorical variables like Contract Type, Internet Service, and Payment Method were transformed into numeric representations.</w:t>
      </w:r>
    </w:p>
    <w:p w14:paraId="76F45F76"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Label Encoding was used where categorical values had an inherent order, while One-Hot Encoding was applied to non-ordinal features to avoid false hierarchies.</w:t>
      </w:r>
    </w:p>
    <w:p w14:paraId="17FF1680"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For example, “Contract Type” with values [Month-to-month, One year, Two year] was encoded ordinally, while “Payment Method” was transformed into binary columns.</w:t>
      </w:r>
    </w:p>
    <w:p w14:paraId="300EDDE1"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This transformation ensured all variables were compatible with both linear and tree-based models.</w:t>
      </w:r>
    </w:p>
    <w:p w14:paraId="4562CF1D"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Encoding also facilitated feature importance analysis, helping to identify which categories contributed most to churn.</w:t>
      </w:r>
    </w:p>
    <w:p w14:paraId="7AB06539" w14:textId="77777777" w:rsidR="00491BCC" w:rsidRPr="00491BCC" w:rsidRDefault="001828C9" w:rsidP="00491BCC">
      <w:pPr>
        <w:spacing w:line="360" w:lineRule="auto"/>
        <w:jc w:val="both"/>
        <w:rPr>
          <w:rFonts w:ascii="Times New Roman" w:hAnsi="Times New Roman" w:cs="Times New Roman"/>
          <w:sz w:val="24"/>
          <w:szCs w:val="24"/>
        </w:rPr>
      </w:pPr>
      <w:r w:rsidRPr="001828C9">
        <w:rPr>
          <w:rFonts w:ascii="Times New Roman" w:hAnsi="Times New Roman" w:cs="Times New Roman"/>
          <w:noProof/>
          <w:sz w:val="24"/>
          <w:szCs w:val="24"/>
        </w:rPr>
        <w:pict w14:anchorId="592210E1">
          <v:rect id="_x0000_i1033" alt="" style="width:451.3pt;height:.05pt;mso-width-percent:0;mso-height-percent:0;mso-width-percent:0;mso-height-percent:0" o:hralign="center" o:hrstd="t" o:hr="t" fillcolor="#a0a0a0" stroked="f"/>
        </w:pict>
      </w:r>
    </w:p>
    <w:p w14:paraId="5C2825CE"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d. Feature Scaling</w:t>
      </w:r>
    </w:p>
    <w:p w14:paraId="0B3F3179"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lastRenderedPageBreak/>
        <w:t>Scaling was performed to standardize numerical variables. Without scaling, features like “Total Charges” could dominate smaller-valued variables such as “Tenure.”</w:t>
      </w:r>
    </w:p>
    <w:p w14:paraId="12599613"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Standardization converted all features to have zero mean and unit variance, enhancing comparability across variables. Logistic Regression, being sensitive to feature magnitude, particularly benefited from this step.</w:t>
      </w:r>
    </w:p>
    <w:p w14:paraId="11DF0357"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Scaling also improves the convergence rate of optimization algorithms during training, leading to more efficient learning and better model accuracy.</w:t>
      </w:r>
    </w:p>
    <w:p w14:paraId="338FC911" w14:textId="77777777" w:rsidR="00491BCC" w:rsidRPr="00491BCC" w:rsidRDefault="001828C9" w:rsidP="00491BCC">
      <w:pPr>
        <w:spacing w:line="360" w:lineRule="auto"/>
        <w:jc w:val="both"/>
        <w:rPr>
          <w:rFonts w:ascii="Times New Roman" w:hAnsi="Times New Roman" w:cs="Times New Roman"/>
          <w:sz w:val="24"/>
          <w:szCs w:val="24"/>
        </w:rPr>
      </w:pPr>
      <w:r w:rsidRPr="001828C9">
        <w:rPr>
          <w:rFonts w:ascii="Times New Roman" w:hAnsi="Times New Roman" w:cs="Times New Roman"/>
          <w:noProof/>
          <w:sz w:val="24"/>
          <w:szCs w:val="24"/>
        </w:rPr>
        <w:pict w14:anchorId="7B2ABA42">
          <v:rect id="_x0000_i1032" alt="" style="width:451.3pt;height:.05pt;mso-width-percent:0;mso-height-percent:0;mso-width-percent:0;mso-height-percent:0" o:hralign="center" o:hrstd="t" o:hr="t" fillcolor="#a0a0a0" stroked="f"/>
        </w:pict>
      </w:r>
    </w:p>
    <w:p w14:paraId="2E216E50"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e. Train–Test Split</w:t>
      </w:r>
    </w:p>
    <w:p w14:paraId="5391C46F"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prepared dataset was divided into training and testing subsets to assess model generalization. The 75:25 ratio allowed sufficient data for learning while keeping enough records for evaluation.</w:t>
      </w:r>
    </w:p>
    <w:p w14:paraId="1A29BA35"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stratified sampling technique ensured that the churn and non-churn ratios remained consistent across both subsets, preventing class imbalance during evaluation.</w:t>
      </w:r>
    </w:p>
    <w:p w14:paraId="4DD93B99"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This systematic partitioning guarantees that models learn meaningful relationships rather than memorizing noise.</w:t>
      </w:r>
    </w:p>
    <w:p w14:paraId="21D04D34" w14:textId="77777777" w:rsidR="00491BCC" w:rsidRPr="00491BCC" w:rsidRDefault="001828C9" w:rsidP="00491BCC">
      <w:pPr>
        <w:spacing w:line="360" w:lineRule="auto"/>
        <w:jc w:val="both"/>
        <w:rPr>
          <w:rFonts w:ascii="Times New Roman" w:hAnsi="Times New Roman" w:cs="Times New Roman"/>
          <w:sz w:val="24"/>
          <w:szCs w:val="24"/>
        </w:rPr>
      </w:pPr>
      <w:r w:rsidRPr="001828C9">
        <w:rPr>
          <w:rFonts w:ascii="Times New Roman" w:hAnsi="Times New Roman" w:cs="Times New Roman"/>
          <w:noProof/>
          <w:sz w:val="24"/>
          <w:szCs w:val="24"/>
        </w:rPr>
        <w:pict w14:anchorId="700CD48B">
          <v:rect id="_x0000_i1031" alt="" style="width:451.3pt;height:.05pt;mso-width-percent:0;mso-height-percent:0;mso-width-percent:0;mso-height-percent:0" o:hralign="center" o:hrstd="t" o:hr="t" fillcolor="#a0a0a0" stroked="f"/>
        </w:pict>
      </w:r>
    </w:p>
    <w:p w14:paraId="4F2E7797"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f. Final Prepared Dataset</w:t>
      </w:r>
    </w:p>
    <w:p w14:paraId="44AEC26F"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After completing all preprocessing steps, the final dataset was robust, balanced, and analysis-ready. It contained approximately 2,800 observations and 25 variables, with all features in numeric form and no missing data.</w:t>
      </w:r>
    </w:p>
    <w:p w14:paraId="7F65E959"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dataset now accurately reflected customer behavior patterns and was suitable for both inferential and predictive modeling. It provided a strong foundation for the construction of CHAID-like models and regression analysis.</w:t>
      </w:r>
    </w:p>
    <w:p w14:paraId="725F4F96" w14:textId="068DAF95" w:rsidR="00367460" w:rsidRPr="0034326C" w:rsidRDefault="00367460" w:rsidP="00355892">
      <w:pPr>
        <w:spacing w:line="360" w:lineRule="auto"/>
        <w:jc w:val="both"/>
        <w:rPr>
          <w:rFonts w:ascii="Times New Roman" w:hAnsi="Times New Roman" w:cs="Times New Roman"/>
          <w:b/>
          <w:bCs/>
          <w:sz w:val="28"/>
          <w:szCs w:val="28"/>
        </w:rPr>
      </w:pPr>
      <w:r w:rsidRPr="00367460">
        <w:rPr>
          <w:rFonts w:ascii="Times New Roman" w:hAnsi="Times New Roman" w:cs="Times New Roman"/>
          <w:b/>
          <w:bCs/>
          <w:sz w:val="28"/>
          <w:szCs w:val="28"/>
        </w:rPr>
        <w:t>CHAID Model &amp; Rule Induction</w:t>
      </w:r>
    </w:p>
    <w:p w14:paraId="37424324"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a. Model Construction</w:t>
      </w:r>
    </w:p>
    <w:p w14:paraId="041691A6"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lastRenderedPageBreak/>
        <w:t>The CHAID model identifies statistically significant relationships between categorical predictors and the target variable using chi-square tests. Its goal is to split data into homogeneous subgroups with distinct churn probabilities.</w:t>
      </w:r>
    </w:p>
    <w:p w14:paraId="70DE5169"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In this case study, a CHAID-like structure was implemented through a decision tree framework that replicated its segmentation logic. The model automatically determined the optimal splits and generated interpretable, business-friendly rules.</w:t>
      </w:r>
    </w:p>
    <w:p w14:paraId="1BE62D9F"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structure of the model closely resembles hierarchical clustering, where each split represents a decision node based on a strong predictor of churn.</w:t>
      </w:r>
    </w:p>
    <w:p w14:paraId="6870E5A1" w14:textId="77777777" w:rsidR="00491BCC" w:rsidRPr="00491BCC" w:rsidRDefault="001828C9" w:rsidP="00491BCC">
      <w:pPr>
        <w:spacing w:line="360" w:lineRule="auto"/>
        <w:jc w:val="both"/>
        <w:rPr>
          <w:rFonts w:ascii="Times New Roman" w:hAnsi="Times New Roman" w:cs="Times New Roman"/>
          <w:sz w:val="24"/>
          <w:szCs w:val="24"/>
        </w:rPr>
      </w:pPr>
      <w:r w:rsidRPr="001828C9">
        <w:rPr>
          <w:rFonts w:ascii="Times New Roman" w:hAnsi="Times New Roman" w:cs="Times New Roman"/>
          <w:noProof/>
          <w:sz w:val="24"/>
          <w:szCs w:val="24"/>
        </w:rPr>
        <w:pict w14:anchorId="17A0F800">
          <v:rect id="_x0000_i1030" alt="" style="width:451.3pt;height:.05pt;mso-width-percent:0;mso-height-percent:0;mso-width-percent:0;mso-height-percent:0" o:hralign="center" o:hrstd="t" o:hr="t" fillcolor="#a0a0a0" stroked="f"/>
        </w:pict>
      </w:r>
    </w:p>
    <w:p w14:paraId="4E264C85"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b. Extracted Rules and Interpretation</w:t>
      </w:r>
    </w:p>
    <w:p w14:paraId="2E526DE6"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resulting decision rules provided actionable insights. For example:</w:t>
      </w:r>
    </w:p>
    <w:p w14:paraId="2B4ED364" w14:textId="77777777" w:rsidR="00491BCC" w:rsidRPr="00491BCC" w:rsidRDefault="00491BCC" w:rsidP="00491BCC">
      <w:pPr>
        <w:numPr>
          <w:ilvl w:val="0"/>
          <w:numId w:val="10"/>
        </w:num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Customers on month-to-month contracts with low tenure exhibited the highest churn rate.</w:t>
      </w:r>
    </w:p>
    <w:p w14:paraId="0A107E12" w14:textId="77777777" w:rsidR="00491BCC" w:rsidRPr="00491BCC" w:rsidRDefault="00491BCC" w:rsidP="00491BCC">
      <w:pPr>
        <w:numPr>
          <w:ilvl w:val="0"/>
          <w:numId w:val="10"/>
        </w:num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Customers paying higher monthly charges through electronic checks were more prone to leave.</w:t>
      </w:r>
    </w:p>
    <w:p w14:paraId="35C12ABE" w14:textId="77777777" w:rsidR="00491BCC" w:rsidRPr="00491BCC" w:rsidRDefault="00491BCC" w:rsidP="00491BCC">
      <w:pPr>
        <w:numPr>
          <w:ilvl w:val="0"/>
          <w:numId w:val="10"/>
        </w:num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Long-term customers on yearly or two-year contracts had strong loyalty indicators.</w:t>
      </w:r>
    </w:p>
    <w:p w14:paraId="4E918953"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These findings show that tenure, billing method, and contract duration are among the most influential churn predictors. The interpretability of CHAID-like rules makes them particularly valuable for managerial decision-making.</w:t>
      </w:r>
    </w:p>
    <w:p w14:paraId="404E07E0" w14:textId="77777777" w:rsidR="00491BCC" w:rsidRPr="00491BCC" w:rsidRDefault="001828C9" w:rsidP="00491BCC">
      <w:pPr>
        <w:spacing w:line="360" w:lineRule="auto"/>
        <w:jc w:val="both"/>
        <w:rPr>
          <w:rFonts w:ascii="Times New Roman" w:hAnsi="Times New Roman" w:cs="Times New Roman"/>
          <w:sz w:val="24"/>
          <w:szCs w:val="24"/>
        </w:rPr>
      </w:pPr>
      <w:r w:rsidRPr="001828C9">
        <w:rPr>
          <w:rFonts w:ascii="Times New Roman" w:hAnsi="Times New Roman" w:cs="Times New Roman"/>
          <w:noProof/>
          <w:sz w:val="24"/>
          <w:szCs w:val="24"/>
        </w:rPr>
        <w:pict w14:anchorId="2FC2CB85">
          <v:rect id="_x0000_i1029" alt="" style="width:451.3pt;height:.05pt;mso-width-percent:0;mso-height-percent:0;mso-width-percent:0;mso-height-percent:0" o:hralign="center" o:hrstd="t" o:hr="t" fillcolor="#a0a0a0" stroked="f"/>
        </w:pict>
      </w:r>
    </w:p>
    <w:p w14:paraId="0C90E43C"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c. Business Implications</w:t>
      </w:r>
    </w:p>
    <w:p w14:paraId="2D908CB1"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extracted rules translate directly into actionable strategies:</w:t>
      </w:r>
    </w:p>
    <w:p w14:paraId="1D72334D" w14:textId="77777777" w:rsidR="00491BCC" w:rsidRPr="00491BCC" w:rsidRDefault="00491BCC" w:rsidP="00491BCC">
      <w:pPr>
        <w:numPr>
          <w:ilvl w:val="0"/>
          <w:numId w:val="11"/>
        </w:num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Short-term customers can be targeted with personalized offers or contract upgrades.</w:t>
      </w:r>
    </w:p>
    <w:p w14:paraId="4126D203" w14:textId="77777777" w:rsidR="00491BCC" w:rsidRPr="00491BCC" w:rsidRDefault="00491BCC" w:rsidP="00491BCC">
      <w:pPr>
        <w:numPr>
          <w:ilvl w:val="0"/>
          <w:numId w:val="11"/>
        </w:num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High-spending customers can be incentivized with loyalty programs or discounted renewals.</w:t>
      </w:r>
    </w:p>
    <w:p w14:paraId="09538A0B" w14:textId="77777777" w:rsidR="00491BCC" w:rsidRPr="00491BCC" w:rsidRDefault="00491BCC" w:rsidP="00491BCC">
      <w:pPr>
        <w:numPr>
          <w:ilvl w:val="0"/>
          <w:numId w:val="11"/>
        </w:num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Electronic payment users can be provided with seamless payment experiences to enhance satisfaction.</w:t>
      </w:r>
    </w:p>
    <w:p w14:paraId="64E39060"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lastRenderedPageBreak/>
        <w:t>Such targeted interventions help improve customer retention and increase lifetime value.</w:t>
      </w:r>
    </w:p>
    <w:p w14:paraId="09269E8D" w14:textId="77777777" w:rsidR="00491BCC" w:rsidRPr="00491BCC" w:rsidRDefault="001828C9" w:rsidP="00491BCC">
      <w:pPr>
        <w:spacing w:line="360" w:lineRule="auto"/>
        <w:jc w:val="both"/>
        <w:rPr>
          <w:rFonts w:ascii="Times New Roman" w:hAnsi="Times New Roman" w:cs="Times New Roman"/>
          <w:sz w:val="24"/>
          <w:szCs w:val="24"/>
        </w:rPr>
      </w:pPr>
      <w:r w:rsidRPr="001828C9">
        <w:rPr>
          <w:rFonts w:ascii="Times New Roman" w:hAnsi="Times New Roman" w:cs="Times New Roman"/>
          <w:noProof/>
          <w:sz w:val="24"/>
          <w:szCs w:val="24"/>
        </w:rPr>
        <w:pict w14:anchorId="02802D06">
          <v:rect id="_x0000_i1028" alt="" style="width:451.3pt;height:.05pt;mso-width-percent:0;mso-height-percent:0;mso-width-percent:0;mso-height-percent:0" o:hralign="center" o:hrstd="t" o:hr="t" fillcolor="#a0a0a0" stroked="f"/>
        </w:pict>
      </w:r>
    </w:p>
    <w:p w14:paraId="299D3B60" w14:textId="77777777" w:rsidR="00491BCC" w:rsidRPr="00491BCC" w:rsidRDefault="00491BCC" w:rsidP="00491BCC">
      <w:pPr>
        <w:spacing w:line="360" w:lineRule="auto"/>
        <w:jc w:val="both"/>
        <w:rPr>
          <w:rFonts w:ascii="Times New Roman" w:hAnsi="Times New Roman" w:cs="Times New Roman"/>
          <w:b/>
          <w:bCs/>
          <w:sz w:val="24"/>
          <w:szCs w:val="24"/>
        </w:rPr>
      </w:pPr>
      <w:r w:rsidRPr="00491BCC">
        <w:rPr>
          <w:rFonts w:ascii="Times New Roman" w:hAnsi="Times New Roman" w:cs="Times New Roman"/>
          <w:b/>
          <w:bCs/>
          <w:sz w:val="24"/>
          <w:szCs w:val="24"/>
        </w:rPr>
        <w:t>d. Advantages of CHAID Analysis</w:t>
      </w:r>
    </w:p>
    <w:p w14:paraId="0FFB958A"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CHAID approach offers several distinct advantages:</w:t>
      </w:r>
    </w:p>
    <w:p w14:paraId="41A4836F" w14:textId="77777777" w:rsidR="00491BCC" w:rsidRPr="00491BCC" w:rsidRDefault="00491BCC" w:rsidP="00491BCC">
      <w:pPr>
        <w:numPr>
          <w:ilvl w:val="0"/>
          <w:numId w:val="12"/>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Transparency:</w:t>
      </w:r>
      <w:r w:rsidRPr="00491BCC">
        <w:rPr>
          <w:rFonts w:ascii="Times New Roman" w:hAnsi="Times New Roman" w:cs="Times New Roman"/>
          <w:sz w:val="24"/>
          <w:szCs w:val="24"/>
        </w:rPr>
        <w:t xml:space="preserve"> Produces readable rules that non-technical stakeholders can interpret.</w:t>
      </w:r>
    </w:p>
    <w:p w14:paraId="5F530AEB" w14:textId="77777777" w:rsidR="00491BCC" w:rsidRPr="00491BCC" w:rsidRDefault="00491BCC" w:rsidP="00491BCC">
      <w:pPr>
        <w:numPr>
          <w:ilvl w:val="0"/>
          <w:numId w:val="12"/>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Statistical Validity:</w:t>
      </w:r>
      <w:r w:rsidRPr="00491BCC">
        <w:rPr>
          <w:rFonts w:ascii="Times New Roman" w:hAnsi="Times New Roman" w:cs="Times New Roman"/>
          <w:sz w:val="24"/>
          <w:szCs w:val="24"/>
        </w:rPr>
        <w:t xml:space="preserve"> Uses chi-square tests to ensure meaningful segmentation.</w:t>
      </w:r>
    </w:p>
    <w:p w14:paraId="0FD6D229" w14:textId="77777777" w:rsidR="00491BCC" w:rsidRPr="00491BCC" w:rsidRDefault="00491BCC" w:rsidP="00491BCC">
      <w:pPr>
        <w:numPr>
          <w:ilvl w:val="0"/>
          <w:numId w:val="12"/>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Automatic Handling of Categorical Variables:</w:t>
      </w:r>
      <w:r w:rsidRPr="00491BCC">
        <w:rPr>
          <w:rFonts w:ascii="Times New Roman" w:hAnsi="Times New Roman" w:cs="Times New Roman"/>
          <w:sz w:val="24"/>
          <w:szCs w:val="24"/>
        </w:rPr>
        <w:t xml:space="preserve"> No need for manual preprocessing.</w:t>
      </w:r>
    </w:p>
    <w:p w14:paraId="3F491AE1" w14:textId="77777777" w:rsidR="00491BCC" w:rsidRPr="00491BCC" w:rsidRDefault="00491BCC" w:rsidP="00491BCC">
      <w:pPr>
        <w:numPr>
          <w:ilvl w:val="0"/>
          <w:numId w:val="12"/>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Business Relevance:</w:t>
      </w:r>
      <w:r w:rsidRPr="00491BCC">
        <w:rPr>
          <w:rFonts w:ascii="Times New Roman" w:hAnsi="Times New Roman" w:cs="Times New Roman"/>
          <w:sz w:val="24"/>
          <w:szCs w:val="24"/>
        </w:rPr>
        <w:t xml:space="preserve"> Each rule corresponds to a customer segment with distinct behavioral traits.</w:t>
      </w:r>
    </w:p>
    <w:p w14:paraId="7298F51D" w14:textId="77777777" w:rsidR="00491BCC" w:rsidRPr="00491BCC" w:rsidRDefault="00491BCC" w:rsidP="00491BCC">
      <w:pPr>
        <w:numPr>
          <w:ilvl w:val="0"/>
          <w:numId w:val="12"/>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Data-Driven Decision Support:</w:t>
      </w:r>
      <w:r w:rsidRPr="00491BCC">
        <w:rPr>
          <w:rFonts w:ascii="Times New Roman" w:hAnsi="Times New Roman" w:cs="Times New Roman"/>
          <w:sz w:val="24"/>
          <w:szCs w:val="24"/>
        </w:rPr>
        <w:t xml:space="preserve"> Empowers marketing and CRM teams to act with confidence.</w:t>
      </w:r>
    </w:p>
    <w:p w14:paraId="6FC51FEF" w14:textId="356F1F90" w:rsidR="00076632" w:rsidRDefault="00076632" w:rsidP="0007663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Model Development and Comparison</w:t>
      </w:r>
    </w:p>
    <w:p w14:paraId="2E70405B" w14:textId="79669EDF" w:rsidR="00076632" w:rsidRPr="00076632" w:rsidRDefault="00076632" w:rsidP="00076632">
      <w:pPr>
        <w:spacing w:line="360" w:lineRule="auto"/>
        <w:jc w:val="both"/>
        <w:rPr>
          <w:rFonts w:ascii="Times New Roman" w:hAnsi="Times New Roman" w:cs="Times New Roman"/>
          <w:sz w:val="24"/>
          <w:szCs w:val="24"/>
        </w:rPr>
      </w:pPr>
      <w:r w:rsidRPr="00076632">
        <w:rPr>
          <w:rFonts w:ascii="Times New Roman" w:hAnsi="Times New Roman" w:cs="Times New Roman"/>
          <w:sz w:val="24"/>
          <w:szCs w:val="24"/>
        </w:rPr>
        <w:t>The model development stage is the core analytical component of this case study, where predictive algorithms were implemented to estimate the likelihood of customer churn based on historical data. The goal was to build models that not only perform well statistically but also provide meaningful insights for business decision-making. To achieve this, two supervised learning approaches were selected — Logistic Regression and Decision Tree (CHAID-like) — due to their interpretability, robustness, and suitability for classification problems. Both models were trained on the cleaned and preprocessed version of the Telco Customer Churn dataset, with Churn_binary (1 = churn, 0 = not churn) serving as the dependent variable.</w:t>
      </w:r>
    </w:p>
    <w:p w14:paraId="435475DC"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a. Model Selection Rationale</w:t>
      </w:r>
    </w:p>
    <w:p w14:paraId="1A3A584F"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Two complementary models were developed to balance interpretability and predictive performance:</w:t>
      </w:r>
    </w:p>
    <w:p w14:paraId="4B5A8AF1" w14:textId="77777777" w:rsidR="00491BCC" w:rsidRPr="00491BCC" w:rsidRDefault="00491BCC" w:rsidP="00491BCC">
      <w:pPr>
        <w:numPr>
          <w:ilvl w:val="0"/>
          <w:numId w:val="13"/>
        </w:num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Logistic Regression: A statistical model that quantifies relationships between features and churn probability.</w:t>
      </w:r>
    </w:p>
    <w:p w14:paraId="6B911AE3" w14:textId="77777777" w:rsidR="00491BCC" w:rsidRPr="00491BCC" w:rsidRDefault="00491BCC" w:rsidP="00491BCC">
      <w:pPr>
        <w:numPr>
          <w:ilvl w:val="0"/>
          <w:numId w:val="13"/>
        </w:num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Random Forest (CHAID-like): A nonlinear ensemble approach capable of capturing complex feature interactions.</w:t>
      </w:r>
    </w:p>
    <w:p w14:paraId="38C1606A"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lastRenderedPageBreak/>
        <w:t>This dual-model framework combines statistical inference with machine learning’s predictive power, offering both explainability and performance.</w:t>
      </w:r>
    </w:p>
    <w:p w14:paraId="6D9C965A" w14:textId="77777777" w:rsidR="00491BCC" w:rsidRPr="00491BCC" w:rsidRDefault="001828C9" w:rsidP="00491BCC">
      <w:pPr>
        <w:spacing w:line="360" w:lineRule="auto"/>
        <w:jc w:val="both"/>
        <w:rPr>
          <w:rFonts w:ascii="Times New Roman" w:hAnsi="Times New Roman" w:cs="Times New Roman"/>
          <w:sz w:val="24"/>
          <w:szCs w:val="24"/>
        </w:rPr>
      </w:pPr>
      <w:r w:rsidRPr="001828C9">
        <w:rPr>
          <w:rFonts w:ascii="Times New Roman" w:hAnsi="Times New Roman" w:cs="Times New Roman"/>
          <w:noProof/>
          <w:sz w:val="24"/>
          <w:szCs w:val="24"/>
        </w:rPr>
        <w:pict w14:anchorId="0845250C">
          <v:rect id="_x0000_i1027" alt="" style="width:451.3pt;height:.05pt;mso-width-percent:0;mso-height-percent:0;mso-width-percent:0;mso-height-percent:0" o:hralign="center" o:hrstd="t" o:hr="t" fillcolor="#a0a0a0" stroked="f"/>
        </w:pict>
      </w:r>
    </w:p>
    <w:p w14:paraId="2B40DE5A"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b. Model Building and Training Process</w:t>
      </w:r>
    </w:p>
    <w:p w14:paraId="729EECA6"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Both models were trained on the preprocessed dataset using the training split and validated on the testing split. Logistic Regression provided interpretable coefficients, while Random Forest analyzed variable importance and hierarchical relationships.</w:t>
      </w:r>
    </w:p>
    <w:p w14:paraId="55E980DC"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Cross-validation techniques were used to ensure stability and reduce overfitting. The training process emphasized balanced learning, where both classes (churners and non-churners) were equally represented.</w:t>
      </w:r>
    </w:p>
    <w:p w14:paraId="7A0148C4"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models’ hyperparameters were tuned for optimal trade-offs between precision and recall.</w:t>
      </w:r>
    </w:p>
    <w:p w14:paraId="2AE8C8B4" w14:textId="77777777" w:rsidR="001124FE" w:rsidRPr="001124FE" w:rsidRDefault="001124FE" w:rsidP="001124FE">
      <w:pPr>
        <w:spacing w:line="360" w:lineRule="auto"/>
        <w:jc w:val="both"/>
        <w:rPr>
          <w:rFonts w:ascii="Times New Roman" w:hAnsi="Times New Roman" w:cs="Times New Roman"/>
          <w:b/>
          <w:bCs/>
          <w:sz w:val="24"/>
          <w:szCs w:val="24"/>
        </w:rPr>
      </w:pPr>
      <w:r w:rsidRPr="001124FE">
        <w:rPr>
          <w:rFonts w:ascii="Times New Roman" w:hAnsi="Times New Roman" w:cs="Times New Roman"/>
          <w:b/>
          <w:bCs/>
          <w:sz w:val="24"/>
          <w:szCs w:val="24"/>
        </w:rPr>
        <w:t>Model 1: Logistic Regression</w:t>
      </w:r>
    </w:p>
    <w:p w14:paraId="54637CE8"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The Logistic Regression model established a baseline for comparison. It quantified how each predictor contributed to churn likelihood. High monthly charges and short tenure showed strong positive correlations with churn, whereas longer contracts had a negative relationship.</w:t>
      </w:r>
    </w:p>
    <w:p w14:paraId="07BBB3DD"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This model provided interpretable, actionable insights suitable for business decision-making.</w:t>
      </w:r>
    </w:p>
    <w:p w14:paraId="4CAB8EDD" w14:textId="3958F77D" w:rsidR="001124FE" w:rsidRPr="001124FE" w:rsidRDefault="001124FE" w:rsidP="001124FE">
      <w:pPr>
        <w:spacing w:line="360" w:lineRule="auto"/>
        <w:jc w:val="both"/>
        <w:rPr>
          <w:rFonts w:ascii="Times New Roman" w:hAnsi="Times New Roman" w:cs="Times New Roman"/>
          <w:b/>
          <w:bCs/>
          <w:sz w:val="24"/>
          <w:szCs w:val="24"/>
        </w:rPr>
      </w:pPr>
      <w:r w:rsidRPr="001124FE">
        <w:rPr>
          <w:rFonts w:ascii="Times New Roman" w:hAnsi="Times New Roman" w:cs="Times New Roman"/>
          <w:b/>
          <w:bCs/>
          <w:sz w:val="24"/>
          <w:szCs w:val="24"/>
        </w:rPr>
        <w:t>Model 2: Decision Tree (CHAID-like)</w:t>
      </w:r>
    </w:p>
    <w:p w14:paraId="3760DB7E" w14:textId="66724828" w:rsidR="001124FE" w:rsidRDefault="001124FE" w:rsidP="001124FE">
      <w:pPr>
        <w:spacing w:line="360" w:lineRule="auto"/>
        <w:jc w:val="both"/>
        <w:rPr>
          <w:rFonts w:ascii="Times New Roman" w:hAnsi="Times New Roman" w:cs="Times New Roman"/>
          <w:sz w:val="24"/>
          <w:szCs w:val="24"/>
        </w:rPr>
      </w:pPr>
      <w:r w:rsidRPr="001124FE">
        <w:rPr>
          <w:rFonts w:ascii="Times New Roman" w:hAnsi="Times New Roman" w:cs="Times New Roman"/>
          <w:sz w:val="24"/>
          <w:szCs w:val="24"/>
        </w:rPr>
        <w:t xml:space="preserve">The Decision Tree model was developed using Scikit-learn’s DecisionTreeClassifier() with parameters set to max_depth=4 and min_samples_leaf=50. These parameters were chosen to balance interpretability and accuracy while minimizing overfitting. The model used </w:t>
      </w:r>
      <w:r w:rsidRPr="001124FE">
        <w:rPr>
          <w:rFonts w:ascii="Times New Roman" w:hAnsi="Times New Roman" w:cs="Times New Roman"/>
          <w:b/>
          <w:bCs/>
          <w:sz w:val="24"/>
          <w:szCs w:val="24"/>
        </w:rPr>
        <w:t>Gini Impurity</w:t>
      </w:r>
      <w:r w:rsidRPr="001124FE">
        <w:rPr>
          <w:rFonts w:ascii="Times New Roman" w:hAnsi="Times New Roman" w:cs="Times New Roman"/>
          <w:sz w:val="24"/>
          <w:szCs w:val="24"/>
        </w:rPr>
        <w:t xml:space="preserve"> as the splitting criterion, which is mathematically related to the Chi-square test used in CHAID models. The tree automatically identified the most significant predictors of churn and generated easily interpretable “if–then” rules that describe high-risk and low-risk customer segments.</w:t>
      </w:r>
    </w:p>
    <w:p w14:paraId="63EF48A1" w14:textId="77777777" w:rsidR="001124FE" w:rsidRPr="00A305F9" w:rsidRDefault="001124FE" w:rsidP="001124FE">
      <w:pPr>
        <w:spacing w:line="360" w:lineRule="auto"/>
        <w:jc w:val="both"/>
        <w:rPr>
          <w:rFonts w:ascii="Times New Roman" w:hAnsi="Times New Roman" w:cs="Times New Roman"/>
          <w:sz w:val="8"/>
          <w:szCs w:val="8"/>
        </w:rPr>
      </w:pPr>
    </w:p>
    <w:p w14:paraId="50B38840" w14:textId="6484746E" w:rsidR="001124FE" w:rsidRPr="001124FE" w:rsidRDefault="001124FE" w:rsidP="001124FE">
      <w:pPr>
        <w:spacing w:line="360" w:lineRule="auto"/>
        <w:jc w:val="both"/>
        <w:rPr>
          <w:rFonts w:ascii="Times New Roman" w:hAnsi="Times New Roman" w:cs="Times New Roman"/>
          <w:b/>
          <w:bCs/>
          <w:sz w:val="24"/>
          <w:szCs w:val="24"/>
        </w:rPr>
      </w:pPr>
      <w:r w:rsidRPr="001124FE">
        <w:rPr>
          <w:rFonts w:ascii="Times New Roman" w:hAnsi="Times New Roman" w:cs="Times New Roman"/>
          <w:b/>
          <w:bCs/>
          <w:sz w:val="24"/>
          <w:szCs w:val="24"/>
        </w:rPr>
        <w:t>c. Model Evaluation Metrics</w:t>
      </w:r>
    </w:p>
    <w:p w14:paraId="16A10FE8"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 xml:space="preserve">Model evaluation is a crucial step in the predictive modeling lifecycle, as it helps determine how well the trained algorithms generalize to unseen data. A model may perform well on </w:t>
      </w:r>
      <w:r w:rsidRPr="00491BCC">
        <w:rPr>
          <w:rFonts w:ascii="Times New Roman" w:hAnsi="Times New Roman" w:cs="Times New Roman"/>
          <w:sz w:val="24"/>
          <w:szCs w:val="24"/>
        </w:rPr>
        <w:lastRenderedPageBreak/>
        <w:t>training data but poorly on new records if it overfits, making evaluation metrics essential for objective comparison.</w:t>
      </w:r>
    </w:p>
    <w:p w14:paraId="3BEBEB82"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 xml:space="preserve">In this study, a comprehensive set of evaluation metrics was employed — </w:t>
      </w:r>
      <w:r w:rsidRPr="00491BCC">
        <w:rPr>
          <w:rFonts w:ascii="Times New Roman" w:hAnsi="Times New Roman" w:cs="Times New Roman"/>
          <w:b/>
          <w:bCs/>
          <w:sz w:val="24"/>
          <w:szCs w:val="24"/>
        </w:rPr>
        <w:t>Accuracy, Precision, Recall, F1-Score, and ROC-AUC</w:t>
      </w:r>
      <w:r w:rsidRPr="00491BCC">
        <w:rPr>
          <w:rFonts w:ascii="Times New Roman" w:hAnsi="Times New Roman" w:cs="Times New Roman"/>
          <w:sz w:val="24"/>
          <w:szCs w:val="24"/>
        </w:rPr>
        <w:t xml:space="preserve"> — to capture the model’s behavior from multiple perspectives.</w:t>
      </w:r>
    </w:p>
    <w:p w14:paraId="64B6A4DA" w14:textId="77777777" w:rsidR="00491BCC" w:rsidRPr="00491BCC" w:rsidRDefault="00491BCC" w:rsidP="00491BCC">
      <w:pPr>
        <w:numPr>
          <w:ilvl w:val="0"/>
          <w:numId w:val="14"/>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Accuracy</w:t>
      </w:r>
      <w:r w:rsidRPr="00491BCC">
        <w:rPr>
          <w:rFonts w:ascii="Times New Roman" w:hAnsi="Times New Roman" w:cs="Times New Roman"/>
          <w:sz w:val="24"/>
          <w:szCs w:val="24"/>
        </w:rPr>
        <w:t xml:space="preserve"> measures the overall proportion of correctly classified instances, providing a simple yet broad view of performance. However, in churn prediction, where data may be imbalanced, accuracy alone can be misleading.</w:t>
      </w:r>
    </w:p>
    <w:p w14:paraId="4DDF3C1A" w14:textId="77777777" w:rsidR="00491BCC" w:rsidRPr="00491BCC" w:rsidRDefault="00491BCC" w:rsidP="00491BCC">
      <w:pPr>
        <w:numPr>
          <w:ilvl w:val="0"/>
          <w:numId w:val="14"/>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Precision</w:t>
      </w:r>
      <w:r w:rsidRPr="00491BCC">
        <w:rPr>
          <w:rFonts w:ascii="Times New Roman" w:hAnsi="Times New Roman" w:cs="Times New Roman"/>
          <w:sz w:val="24"/>
          <w:szCs w:val="24"/>
        </w:rPr>
        <w:t xml:space="preserve"> quantifies how many of the customers predicted as churners truly churned. A higher precision indicates fewer false alarms, ensuring marketing resources are not wasted on loyal customers.</w:t>
      </w:r>
    </w:p>
    <w:p w14:paraId="0811836C" w14:textId="77777777" w:rsidR="00491BCC" w:rsidRPr="00491BCC" w:rsidRDefault="00491BCC" w:rsidP="00491BCC">
      <w:pPr>
        <w:numPr>
          <w:ilvl w:val="0"/>
          <w:numId w:val="14"/>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Recall (Sensitivity)</w:t>
      </w:r>
      <w:r w:rsidRPr="00491BCC">
        <w:rPr>
          <w:rFonts w:ascii="Times New Roman" w:hAnsi="Times New Roman" w:cs="Times New Roman"/>
          <w:sz w:val="24"/>
          <w:szCs w:val="24"/>
        </w:rPr>
        <w:t xml:space="preserve"> measures how many actual churners were correctly identified by the model. A higher recall ensures that fewer high-risk customers are missed.</w:t>
      </w:r>
    </w:p>
    <w:p w14:paraId="22EB6EC6" w14:textId="77777777" w:rsidR="00491BCC" w:rsidRPr="00491BCC" w:rsidRDefault="00491BCC" w:rsidP="00491BCC">
      <w:pPr>
        <w:numPr>
          <w:ilvl w:val="0"/>
          <w:numId w:val="14"/>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F1-Score</w:t>
      </w:r>
      <w:r w:rsidRPr="00491BCC">
        <w:rPr>
          <w:rFonts w:ascii="Times New Roman" w:hAnsi="Times New Roman" w:cs="Times New Roman"/>
          <w:sz w:val="24"/>
          <w:szCs w:val="24"/>
        </w:rPr>
        <w:t>, the harmonic mean of precision and recall, balances these two metrics, providing a more holistic measure of model reliability.</w:t>
      </w:r>
    </w:p>
    <w:p w14:paraId="3D055FAC" w14:textId="77777777" w:rsidR="00491BCC" w:rsidRPr="00491BCC" w:rsidRDefault="00491BCC" w:rsidP="00491BCC">
      <w:pPr>
        <w:numPr>
          <w:ilvl w:val="0"/>
          <w:numId w:val="14"/>
        </w:numPr>
        <w:spacing w:line="360" w:lineRule="auto"/>
        <w:jc w:val="both"/>
        <w:rPr>
          <w:rFonts w:ascii="Times New Roman" w:hAnsi="Times New Roman" w:cs="Times New Roman"/>
          <w:sz w:val="24"/>
          <w:szCs w:val="24"/>
        </w:rPr>
      </w:pPr>
      <w:r w:rsidRPr="00491BCC">
        <w:rPr>
          <w:rFonts w:ascii="Times New Roman" w:hAnsi="Times New Roman" w:cs="Times New Roman"/>
          <w:b/>
          <w:bCs/>
          <w:sz w:val="24"/>
          <w:szCs w:val="24"/>
        </w:rPr>
        <w:t>ROC-AUC (Receiver Operating Characteristic – Area Under the Curve)</w:t>
      </w:r>
      <w:r w:rsidRPr="00491BCC">
        <w:rPr>
          <w:rFonts w:ascii="Times New Roman" w:hAnsi="Times New Roman" w:cs="Times New Roman"/>
          <w:sz w:val="24"/>
          <w:szCs w:val="24"/>
        </w:rPr>
        <w:t xml:space="preserve"> evaluates the model’s ability to distinguish between churners and non-churners across different threshold levels. A higher AUC indicates stronger discriminatory power.</w:t>
      </w:r>
    </w:p>
    <w:p w14:paraId="3E622C53" w14:textId="4B662FBB" w:rsidR="00A305F9" w:rsidRDefault="00A305F9" w:rsidP="00A305F9">
      <w:pPr>
        <w:spacing w:line="360" w:lineRule="auto"/>
        <w:jc w:val="both"/>
        <w:rPr>
          <w:rFonts w:ascii="Times New Roman" w:hAnsi="Times New Roman" w:cs="Times New Roman"/>
          <w:b/>
          <w:bCs/>
          <w:sz w:val="24"/>
          <w:szCs w:val="24"/>
        </w:rPr>
      </w:pPr>
      <w:r w:rsidRPr="00A305F9">
        <w:rPr>
          <w:rFonts w:ascii="Times New Roman" w:hAnsi="Times New Roman" w:cs="Times New Roman"/>
          <w:b/>
          <w:bCs/>
          <w:sz w:val="24"/>
          <w:szCs w:val="24"/>
        </w:rPr>
        <w:t>d. Model Performance Results</w:t>
      </w:r>
    </w:p>
    <w:p w14:paraId="13A9A759" w14:textId="37E4C113" w:rsidR="00A305F9" w:rsidRDefault="00A305F9" w:rsidP="00A305F9">
      <w:pPr>
        <w:spacing w:line="360" w:lineRule="auto"/>
        <w:jc w:val="both"/>
        <w:rPr>
          <w:rFonts w:ascii="Times New Roman" w:hAnsi="Times New Roman" w:cs="Times New Roman"/>
          <w:sz w:val="24"/>
          <w:szCs w:val="24"/>
        </w:rPr>
      </w:pPr>
      <w:r w:rsidRPr="00A305F9">
        <w:rPr>
          <w:rFonts w:ascii="Times New Roman" w:hAnsi="Times New Roman" w:cs="Times New Roman"/>
          <w:sz w:val="24"/>
          <w:szCs w:val="24"/>
        </w:rPr>
        <w:t>After training and testing both models, the following results were obtained: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305F9" w14:paraId="46E86D28" w14:textId="77777777" w:rsidTr="00D27BED">
        <w:tc>
          <w:tcPr>
            <w:tcW w:w="1502" w:type="dxa"/>
            <w:vAlign w:val="center"/>
          </w:tcPr>
          <w:p w14:paraId="692E753B" w14:textId="76C72739" w:rsidR="00A305F9" w:rsidRDefault="00A305F9" w:rsidP="00A305F9">
            <w:pPr>
              <w:spacing w:line="360" w:lineRule="auto"/>
              <w:jc w:val="both"/>
              <w:rPr>
                <w:rFonts w:ascii="Times New Roman" w:hAnsi="Times New Roman" w:cs="Times New Roman"/>
                <w:sz w:val="24"/>
                <w:szCs w:val="24"/>
              </w:rPr>
            </w:pPr>
            <w:r>
              <w:rPr>
                <w:b/>
                <w:bCs/>
              </w:rPr>
              <w:t>Model</w:t>
            </w:r>
          </w:p>
        </w:tc>
        <w:tc>
          <w:tcPr>
            <w:tcW w:w="1502" w:type="dxa"/>
            <w:vAlign w:val="center"/>
          </w:tcPr>
          <w:p w14:paraId="36543F9C" w14:textId="5138A56D" w:rsidR="00A305F9" w:rsidRDefault="00A305F9" w:rsidP="00A305F9">
            <w:pPr>
              <w:spacing w:line="360" w:lineRule="auto"/>
              <w:jc w:val="both"/>
              <w:rPr>
                <w:rFonts w:ascii="Times New Roman" w:hAnsi="Times New Roman" w:cs="Times New Roman"/>
                <w:sz w:val="24"/>
                <w:szCs w:val="24"/>
              </w:rPr>
            </w:pPr>
            <w:r>
              <w:rPr>
                <w:b/>
                <w:bCs/>
              </w:rPr>
              <w:t>Accuracy</w:t>
            </w:r>
          </w:p>
        </w:tc>
        <w:tc>
          <w:tcPr>
            <w:tcW w:w="1503" w:type="dxa"/>
            <w:vAlign w:val="center"/>
          </w:tcPr>
          <w:p w14:paraId="59192215" w14:textId="052F19D9" w:rsidR="00A305F9" w:rsidRDefault="00A305F9" w:rsidP="00A305F9">
            <w:pPr>
              <w:spacing w:line="360" w:lineRule="auto"/>
              <w:jc w:val="both"/>
              <w:rPr>
                <w:rFonts w:ascii="Times New Roman" w:hAnsi="Times New Roman" w:cs="Times New Roman"/>
                <w:sz w:val="24"/>
                <w:szCs w:val="24"/>
              </w:rPr>
            </w:pPr>
            <w:r>
              <w:rPr>
                <w:b/>
                <w:bCs/>
              </w:rPr>
              <w:t>ROC-AUC</w:t>
            </w:r>
          </w:p>
        </w:tc>
        <w:tc>
          <w:tcPr>
            <w:tcW w:w="1503" w:type="dxa"/>
            <w:vAlign w:val="center"/>
          </w:tcPr>
          <w:p w14:paraId="343D5460" w14:textId="7AFF45BD" w:rsidR="00A305F9" w:rsidRDefault="00A305F9" w:rsidP="00A305F9">
            <w:pPr>
              <w:spacing w:line="360" w:lineRule="auto"/>
              <w:jc w:val="both"/>
              <w:rPr>
                <w:rFonts w:ascii="Times New Roman" w:hAnsi="Times New Roman" w:cs="Times New Roman"/>
                <w:sz w:val="24"/>
                <w:szCs w:val="24"/>
              </w:rPr>
            </w:pPr>
            <w:r>
              <w:rPr>
                <w:b/>
                <w:bCs/>
              </w:rPr>
              <w:t>Precision</w:t>
            </w:r>
          </w:p>
        </w:tc>
        <w:tc>
          <w:tcPr>
            <w:tcW w:w="1503" w:type="dxa"/>
            <w:vAlign w:val="center"/>
          </w:tcPr>
          <w:p w14:paraId="2FDAAB10" w14:textId="2E234E6F" w:rsidR="00A305F9" w:rsidRDefault="00A305F9" w:rsidP="00A305F9">
            <w:pPr>
              <w:spacing w:line="360" w:lineRule="auto"/>
              <w:jc w:val="both"/>
              <w:rPr>
                <w:rFonts w:ascii="Times New Roman" w:hAnsi="Times New Roman" w:cs="Times New Roman"/>
                <w:sz w:val="24"/>
                <w:szCs w:val="24"/>
              </w:rPr>
            </w:pPr>
            <w:r>
              <w:rPr>
                <w:b/>
                <w:bCs/>
              </w:rPr>
              <w:t>Recall</w:t>
            </w:r>
          </w:p>
        </w:tc>
        <w:tc>
          <w:tcPr>
            <w:tcW w:w="1503" w:type="dxa"/>
            <w:vAlign w:val="center"/>
          </w:tcPr>
          <w:p w14:paraId="72E14386" w14:textId="1B84CC06" w:rsidR="00A305F9" w:rsidRDefault="00A305F9" w:rsidP="00A305F9">
            <w:pPr>
              <w:spacing w:line="360" w:lineRule="auto"/>
              <w:jc w:val="both"/>
              <w:rPr>
                <w:rFonts w:ascii="Times New Roman" w:hAnsi="Times New Roman" w:cs="Times New Roman"/>
                <w:sz w:val="24"/>
                <w:szCs w:val="24"/>
              </w:rPr>
            </w:pPr>
            <w:r>
              <w:rPr>
                <w:b/>
                <w:bCs/>
              </w:rPr>
              <w:t>F1-Score</w:t>
            </w:r>
          </w:p>
        </w:tc>
      </w:tr>
      <w:tr w:rsidR="00A305F9" w14:paraId="035640A4" w14:textId="77777777" w:rsidTr="00D27BED">
        <w:tc>
          <w:tcPr>
            <w:tcW w:w="1502" w:type="dxa"/>
            <w:vAlign w:val="center"/>
          </w:tcPr>
          <w:p w14:paraId="5DB06C93" w14:textId="5093B189" w:rsidR="00A305F9" w:rsidRDefault="00A305F9" w:rsidP="00A305F9">
            <w:pPr>
              <w:spacing w:line="360" w:lineRule="auto"/>
              <w:rPr>
                <w:rFonts w:ascii="Times New Roman" w:hAnsi="Times New Roman" w:cs="Times New Roman"/>
                <w:sz w:val="24"/>
                <w:szCs w:val="24"/>
              </w:rPr>
            </w:pPr>
            <w:r>
              <w:t>Logistic Regression</w:t>
            </w:r>
          </w:p>
        </w:tc>
        <w:tc>
          <w:tcPr>
            <w:tcW w:w="1502" w:type="dxa"/>
            <w:vAlign w:val="center"/>
          </w:tcPr>
          <w:p w14:paraId="54422376" w14:textId="5A8B6F99" w:rsidR="00A305F9" w:rsidRDefault="00A305F9" w:rsidP="00A305F9">
            <w:pPr>
              <w:spacing w:line="360" w:lineRule="auto"/>
              <w:jc w:val="both"/>
              <w:rPr>
                <w:rFonts w:ascii="Times New Roman" w:hAnsi="Times New Roman" w:cs="Times New Roman"/>
                <w:sz w:val="24"/>
                <w:szCs w:val="24"/>
              </w:rPr>
            </w:pPr>
            <w:r>
              <w:t>0.8</w:t>
            </w:r>
            <w:r w:rsidR="00491BCC">
              <w:t>3</w:t>
            </w:r>
          </w:p>
        </w:tc>
        <w:tc>
          <w:tcPr>
            <w:tcW w:w="1503" w:type="dxa"/>
            <w:vAlign w:val="center"/>
          </w:tcPr>
          <w:p w14:paraId="08573A77" w14:textId="22695802" w:rsidR="00A305F9" w:rsidRDefault="00A305F9" w:rsidP="00A305F9">
            <w:pPr>
              <w:spacing w:line="360" w:lineRule="auto"/>
              <w:jc w:val="both"/>
              <w:rPr>
                <w:rFonts w:ascii="Times New Roman" w:hAnsi="Times New Roman" w:cs="Times New Roman"/>
                <w:sz w:val="24"/>
                <w:szCs w:val="24"/>
              </w:rPr>
            </w:pPr>
            <w:r>
              <w:t>0.8</w:t>
            </w:r>
            <w:r w:rsidR="00491BCC">
              <w:t>7</w:t>
            </w:r>
          </w:p>
        </w:tc>
        <w:tc>
          <w:tcPr>
            <w:tcW w:w="1503" w:type="dxa"/>
            <w:vAlign w:val="center"/>
          </w:tcPr>
          <w:p w14:paraId="156A9D7B" w14:textId="330DCCBB" w:rsidR="00A305F9" w:rsidRDefault="00A305F9" w:rsidP="00A305F9">
            <w:pPr>
              <w:spacing w:line="360" w:lineRule="auto"/>
              <w:jc w:val="both"/>
              <w:rPr>
                <w:rFonts w:ascii="Times New Roman" w:hAnsi="Times New Roman" w:cs="Times New Roman"/>
                <w:sz w:val="24"/>
                <w:szCs w:val="24"/>
              </w:rPr>
            </w:pPr>
            <w:r>
              <w:t>0.73</w:t>
            </w:r>
          </w:p>
        </w:tc>
        <w:tc>
          <w:tcPr>
            <w:tcW w:w="1503" w:type="dxa"/>
            <w:vAlign w:val="center"/>
          </w:tcPr>
          <w:p w14:paraId="36283EA4" w14:textId="3373EF8F" w:rsidR="00A305F9" w:rsidRDefault="00A305F9" w:rsidP="00A305F9">
            <w:pPr>
              <w:spacing w:line="360" w:lineRule="auto"/>
              <w:jc w:val="both"/>
              <w:rPr>
                <w:rFonts w:ascii="Times New Roman" w:hAnsi="Times New Roman" w:cs="Times New Roman"/>
                <w:sz w:val="24"/>
                <w:szCs w:val="24"/>
              </w:rPr>
            </w:pPr>
            <w:r>
              <w:t>0.68</w:t>
            </w:r>
          </w:p>
        </w:tc>
        <w:tc>
          <w:tcPr>
            <w:tcW w:w="1503" w:type="dxa"/>
            <w:vAlign w:val="center"/>
          </w:tcPr>
          <w:p w14:paraId="40F7F3F1" w14:textId="01BA21B0" w:rsidR="00A305F9" w:rsidRDefault="00A305F9" w:rsidP="00A305F9">
            <w:pPr>
              <w:spacing w:line="360" w:lineRule="auto"/>
              <w:jc w:val="both"/>
              <w:rPr>
                <w:rFonts w:ascii="Times New Roman" w:hAnsi="Times New Roman" w:cs="Times New Roman"/>
                <w:sz w:val="24"/>
                <w:szCs w:val="24"/>
              </w:rPr>
            </w:pPr>
            <w:r>
              <w:t>0.70</w:t>
            </w:r>
          </w:p>
        </w:tc>
      </w:tr>
      <w:tr w:rsidR="00A305F9" w14:paraId="3F1A6B4D" w14:textId="77777777" w:rsidTr="00D27BED">
        <w:tc>
          <w:tcPr>
            <w:tcW w:w="1502" w:type="dxa"/>
            <w:vAlign w:val="center"/>
          </w:tcPr>
          <w:p w14:paraId="1EFA901F" w14:textId="5CAAFD28" w:rsidR="00A305F9" w:rsidRDefault="00A305F9" w:rsidP="00A305F9">
            <w:pPr>
              <w:spacing w:line="360" w:lineRule="auto"/>
              <w:rPr>
                <w:rFonts w:ascii="Times New Roman" w:hAnsi="Times New Roman" w:cs="Times New Roman"/>
                <w:sz w:val="24"/>
                <w:szCs w:val="24"/>
              </w:rPr>
            </w:pPr>
            <w:r>
              <w:t>Decision Tree (CHAID-like)</w:t>
            </w:r>
          </w:p>
        </w:tc>
        <w:tc>
          <w:tcPr>
            <w:tcW w:w="1502" w:type="dxa"/>
            <w:vAlign w:val="center"/>
          </w:tcPr>
          <w:p w14:paraId="0D77C61D" w14:textId="5B3B1787" w:rsidR="00A305F9" w:rsidRDefault="00A305F9" w:rsidP="00A305F9">
            <w:pPr>
              <w:spacing w:line="360" w:lineRule="auto"/>
              <w:jc w:val="both"/>
              <w:rPr>
                <w:rFonts w:ascii="Times New Roman" w:hAnsi="Times New Roman" w:cs="Times New Roman"/>
                <w:sz w:val="24"/>
                <w:szCs w:val="24"/>
              </w:rPr>
            </w:pPr>
            <w:r>
              <w:t>0.</w:t>
            </w:r>
            <w:r w:rsidR="00491BCC">
              <w:t>81</w:t>
            </w:r>
          </w:p>
        </w:tc>
        <w:tc>
          <w:tcPr>
            <w:tcW w:w="1503" w:type="dxa"/>
            <w:vAlign w:val="center"/>
          </w:tcPr>
          <w:p w14:paraId="46F7F9A3" w14:textId="4B84EC03" w:rsidR="00A305F9" w:rsidRDefault="00A305F9" w:rsidP="00A305F9">
            <w:pPr>
              <w:spacing w:line="360" w:lineRule="auto"/>
              <w:jc w:val="both"/>
              <w:rPr>
                <w:rFonts w:ascii="Times New Roman" w:hAnsi="Times New Roman" w:cs="Times New Roman"/>
                <w:sz w:val="24"/>
                <w:szCs w:val="24"/>
              </w:rPr>
            </w:pPr>
            <w:r>
              <w:t>0.8</w:t>
            </w:r>
            <w:r w:rsidR="00491BCC">
              <w:t>4</w:t>
            </w:r>
          </w:p>
        </w:tc>
        <w:tc>
          <w:tcPr>
            <w:tcW w:w="1503" w:type="dxa"/>
            <w:vAlign w:val="center"/>
          </w:tcPr>
          <w:p w14:paraId="3230B769" w14:textId="7D8B51DA" w:rsidR="00A305F9" w:rsidRDefault="00A305F9" w:rsidP="00A305F9">
            <w:pPr>
              <w:spacing w:line="360" w:lineRule="auto"/>
              <w:jc w:val="both"/>
              <w:rPr>
                <w:rFonts w:ascii="Times New Roman" w:hAnsi="Times New Roman" w:cs="Times New Roman"/>
                <w:sz w:val="24"/>
                <w:szCs w:val="24"/>
              </w:rPr>
            </w:pPr>
            <w:r>
              <w:t>0.70</w:t>
            </w:r>
          </w:p>
        </w:tc>
        <w:tc>
          <w:tcPr>
            <w:tcW w:w="1503" w:type="dxa"/>
            <w:vAlign w:val="center"/>
          </w:tcPr>
          <w:p w14:paraId="11F8FEC7" w14:textId="64D021FD" w:rsidR="00A305F9" w:rsidRDefault="00A305F9" w:rsidP="00A305F9">
            <w:pPr>
              <w:spacing w:line="360" w:lineRule="auto"/>
              <w:jc w:val="both"/>
              <w:rPr>
                <w:rFonts w:ascii="Times New Roman" w:hAnsi="Times New Roman" w:cs="Times New Roman"/>
                <w:sz w:val="24"/>
                <w:szCs w:val="24"/>
              </w:rPr>
            </w:pPr>
            <w:r>
              <w:t>0.64</w:t>
            </w:r>
          </w:p>
        </w:tc>
        <w:tc>
          <w:tcPr>
            <w:tcW w:w="1503" w:type="dxa"/>
            <w:vAlign w:val="center"/>
          </w:tcPr>
          <w:p w14:paraId="1852E4A6" w14:textId="1FB4C240" w:rsidR="00A305F9" w:rsidRDefault="00A305F9" w:rsidP="00A305F9">
            <w:pPr>
              <w:spacing w:line="360" w:lineRule="auto"/>
              <w:jc w:val="both"/>
              <w:rPr>
                <w:rFonts w:ascii="Times New Roman" w:hAnsi="Times New Roman" w:cs="Times New Roman"/>
                <w:sz w:val="24"/>
                <w:szCs w:val="24"/>
              </w:rPr>
            </w:pPr>
            <w:r>
              <w:t>0.67</w:t>
            </w:r>
          </w:p>
        </w:tc>
      </w:tr>
    </w:tbl>
    <w:p w14:paraId="1159FFDE" w14:textId="77777777" w:rsidR="00A305F9" w:rsidRPr="00A305F9" w:rsidRDefault="00A305F9" w:rsidP="00A305F9">
      <w:pPr>
        <w:spacing w:line="360" w:lineRule="auto"/>
        <w:jc w:val="both"/>
        <w:rPr>
          <w:rFonts w:ascii="Times New Roman" w:hAnsi="Times New Roman" w:cs="Times New Roman"/>
          <w:sz w:val="24"/>
          <w:szCs w:val="24"/>
        </w:rPr>
      </w:pPr>
    </w:p>
    <w:p w14:paraId="409AF5A0" w14:textId="082E465E" w:rsidR="00A305F9" w:rsidRDefault="00D25C75" w:rsidP="00A305F9">
      <w:pPr>
        <w:spacing w:line="360" w:lineRule="auto"/>
        <w:jc w:val="both"/>
        <w:rPr>
          <w:rFonts w:ascii="Times New Roman" w:hAnsi="Times New Roman" w:cs="Times New Roman"/>
          <w:sz w:val="24"/>
          <w:szCs w:val="24"/>
        </w:rPr>
      </w:pPr>
      <w:r w:rsidRPr="00D25C75">
        <w:rPr>
          <w:rFonts w:ascii="Times New Roman" w:hAnsi="Times New Roman" w:cs="Times New Roman"/>
          <w:sz w:val="24"/>
          <w:szCs w:val="24"/>
        </w:rPr>
        <w:t>The Logistic Regression model achieved slightly better overall performance, particularly in terms of ROC-AUC and accuracy, indicating that it generalizes well to unseen data. The Decision Tree model, while marginally less accurate, provided more interpretable rule-based insights, which are highly valuable for business users.</w:t>
      </w:r>
    </w:p>
    <w:p w14:paraId="3FF452F4" w14:textId="77777777" w:rsidR="00D25C75" w:rsidRPr="00D25C75" w:rsidRDefault="00D25C75" w:rsidP="00A305F9">
      <w:pPr>
        <w:spacing w:line="360" w:lineRule="auto"/>
        <w:jc w:val="both"/>
        <w:rPr>
          <w:rFonts w:ascii="Times New Roman" w:hAnsi="Times New Roman" w:cs="Times New Roman"/>
          <w:sz w:val="8"/>
          <w:szCs w:val="8"/>
        </w:rPr>
      </w:pPr>
    </w:p>
    <w:p w14:paraId="13E2EA40" w14:textId="7E23206C" w:rsidR="00D25C75" w:rsidRPr="001124FE" w:rsidRDefault="00D25C75" w:rsidP="00A305F9">
      <w:pPr>
        <w:spacing w:line="360" w:lineRule="auto"/>
        <w:jc w:val="both"/>
        <w:rPr>
          <w:rFonts w:ascii="Times New Roman" w:hAnsi="Times New Roman" w:cs="Times New Roman"/>
          <w:b/>
          <w:bCs/>
          <w:sz w:val="24"/>
          <w:szCs w:val="24"/>
        </w:rPr>
      </w:pPr>
      <w:r w:rsidRPr="00D25C75">
        <w:rPr>
          <w:rFonts w:ascii="Times New Roman" w:hAnsi="Times New Roman" w:cs="Times New Roman"/>
          <w:b/>
          <w:bCs/>
          <w:sz w:val="24"/>
          <w:szCs w:val="24"/>
        </w:rPr>
        <w:t>e. Comparative Analysis of Models</w:t>
      </w:r>
    </w:p>
    <w:p w14:paraId="6323F4D1" w14:textId="4B4858CB" w:rsidR="001124FE" w:rsidRPr="00076632" w:rsidRDefault="00D25C75" w:rsidP="00076632">
      <w:pPr>
        <w:spacing w:line="360" w:lineRule="auto"/>
        <w:jc w:val="both"/>
        <w:rPr>
          <w:rFonts w:ascii="Times New Roman" w:hAnsi="Times New Roman" w:cs="Times New Roman"/>
          <w:b/>
          <w:bCs/>
          <w:sz w:val="24"/>
          <w:szCs w:val="24"/>
        </w:rPr>
      </w:pPr>
      <w:r w:rsidRPr="00D25C75">
        <w:rPr>
          <w:rFonts w:ascii="Times New Roman" w:hAnsi="Times New Roman" w:cs="Times New Roman"/>
          <w:b/>
          <w:bCs/>
          <w:sz w:val="24"/>
          <w:szCs w:val="24"/>
        </w:rPr>
        <w:t>Logistic Regression</w:t>
      </w:r>
    </w:p>
    <w:p w14:paraId="63F6E855" w14:textId="3629B10A" w:rsidR="00D25C75" w:rsidRPr="00D25C75" w:rsidRDefault="00491BCC" w:rsidP="00076632">
      <w:pPr>
        <w:spacing w:line="360" w:lineRule="auto"/>
        <w:jc w:val="both"/>
        <w:rPr>
          <w:rFonts w:ascii="Times New Roman" w:hAnsi="Times New Roman" w:cs="Times New Roman"/>
          <w:sz w:val="2"/>
          <w:szCs w:val="2"/>
        </w:rPr>
      </w:pPr>
      <w:r w:rsidRPr="00491BCC">
        <w:rPr>
          <w:rFonts w:ascii="Times New Roman" w:hAnsi="Times New Roman" w:cs="Times New Roman"/>
          <w:sz w:val="24"/>
          <w:szCs w:val="24"/>
        </w:rPr>
        <w:t xml:space="preserve">The </w:t>
      </w:r>
      <w:r w:rsidRPr="00491BCC">
        <w:rPr>
          <w:rFonts w:ascii="Times New Roman" w:hAnsi="Times New Roman" w:cs="Times New Roman"/>
          <w:b/>
          <w:bCs/>
          <w:sz w:val="24"/>
          <w:szCs w:val="24"/>
        </w:rPr>
        <w:t>Logistic Regression</w:t>
      </w:r>
      <w:r w:rsidRPr="00491BCC">
        <w:rPr>
          <w:rFonts w:ascii="Times New Roman" w:hAnsi="Times New Roman" w:cs="Times New Roman"/>
          <w:sz w:val="24"/>
          <w:szCs w:val="24"/>
        </w:rPr>
        <w:t xml:space="preserve"> model emerged as more </w:t>
      </w:r>
      <w:r w:rsidRPr="00491BCC">
        <w:rPr>
          <w:rFonts w:ascii="Times New Roman" w:hAnsi="Times New Roman" w:cs="Times New Roman"/>
          <w:b/>
          <w:bCs/>
          <w:sz w:val="24"/>
          <w:szCs w:val="24"/>
        </w:rPr>
        <w:t>transparent</w:t>
      </w:r>
      <w:r w:rsidRPr="00491BCC">
        <w:rPr>
          <w:rFonts w:ascii="Times New Roman" w:hAnsi="Times New Roman" w:cs="Times New Roman"/>
          <w:sz w:val="24"/>
          <w:szCs w:val="24"/>
        </w:rPr>
        <w:t xml:space="preserve"> and </w:t>
      </w:r>
      <w:r w:rsidRPr="00491BCC">
        <w:rPr>
          <w:rFonts w:ascii="Times New Roman" w:hAnsi="Times New Roman" w:cs="Times New Roman"/>
          <w:b/>
          <w:bCs/>
          <w:sz w:val="24"/>
          <w:szCs w:val="24"/>
        </w:rPr>
        <w:t>interpretable</w:t>
      </w:r>
      <w:r w:rsidRPr="00491BCC">
        <w:rPr>
          <w:rFonts w:ascii="Times New Roman" w:hAnsi="Times New Roman" w:cs="Times New Roman"/>
          <w:sz w:val="24"/>
          <w:szCs w:val="24"/>
        </w:rPr>
        <w:t>. Its coefficients revealed the exact relationship between independent variables and churn probability. For instance, an increase in monthly charges significantly increased churn odds, while longer contracts reduced it. This level of explainability makes Logistic Regression a powerful analytical tool for management decisions and policy formulation.</w:t>
      </w:r>
    </w:p>
    <w:p w14:paraId="175B62BE" w14:textId="140D69E3" w:rsidR="00D25C75" w:rsidRPr="00076632" w:rsidRDefault="00D25C75" w:rsidP="00076632">
      <w:pPr>
        <w:spacing w:line="360" w:lineRule="auto"/>
        <w:jc w:val="both"/>
        <w:rPr>
          <w:rFonts w:ascii="Times New Roman" w:hAnsi="Times New Roman" w:cs="Times New Roman"/>
          <w:b/>
          <w:bCs/>
          <w:sz w:val="24"/>
          <w:szCs w:val="24"/>
        </w:rPr>
      </w:pPr>
      <w:r w:rsidRPr="00D25C75">
        <w:rPr>
          <w:rFonts w:ascii="Times New Roman" w:hAnsi="Times New Roman" w:cs="Times New Roman"/>
          <w:b/>
          <w:bCs/>
          <w:sz w:val="24"/>
          <w:szCs w:val="24"/>
        </w:rPr>
        <w:t>Decision Tree</w:t>
      </w:r>
    </w:p>
    <w:p w14:paraId="147C176D" w14:textId="718A9136" w:rsidR="00076632" w:rsidRPr="00D25C75" w:rsidRDefault="00D25C75" w:rsidP="00076632">
      <w:pPr>
        <w:spacing w:line="360" w:lineRule="auto"/>
        <w:jc w:val="both"/>
        <w:rPr>
          <w:rFonts w:ascii="Times New Roman" w:hAnsi="Times New Roman" w:cs="Times New Roman"/>
          <w:sz w:val="24"/>
          <w:szCs w:val="24"/>
        </w:rPr>
      </w:pPr>
      <w:r w:rsidRPr="00D25C75">
        <w:rPr>
          <w:rFonts w:ascii="Times New Roman" w:hAnsi="Times New Roman" w:cs="Times New Roman"/>
          <w:sz w:val="24"/>
          <w:szCs w:val="24"/>
        </w:rPr>
        <w:t>The Decision Tree model provided rule-based segmentation of customers into distinct churn risk groups. The first and most important split occurred on the Contract feature, confirming it as the most influential variable. Customers with Month-to-month contracts were found to have the highest churn probability, especially when combined with Fiber optic internet and lack of TechSupport. Meanwhile, customers with Two-year contracts and OnlineSecurity enabled had the lowest churn probability. These hierarchical rules make the model especially useful for customer segmentation and targeted marketing.</w:t>
      </w:r>
    </w:p>
    <w:p w14:paraId="7896ED31" w14:textId="77777777" w:rsidR="00076632" w:rsidRPr="00D25C75" w:rsidRDefault="00076632" w:rsidP="00076632">
      <w:pPr>
        <w:spacing w:line="360" w:lineRule="auto"/>
        <w:jc w:val="both"/>
        <w:rPr>
          <w:rFonts w:ascii="Times New Roman" w:hAnsi="Times New Roman" w:cs="Times New Roman"/>
          <w:sz w:val="8"/>
          <w:szCs w:val="8"/>
        </w:rPr>
      </w:pPr>
    </w:p>
    <w:p w14:paraId="2242D7D2" w14:textId="1781C993" w:rsidR="00D25C75" w:rsidRPr="00076632" w:rsidRDefault="00D25C75" w:rsidP="00076632">
      <w:pPr>
        <w:spacing w:line="360" w:lineRule="auto"/>
        <w:jc w:val="both"/>
        <w:rPr>
          <w:rFonts w:ascii="Times New Roman" w:hAnsi="Times New Roman" w:cs="Times New Roman"/>
          <w:b/>
          <w:bCs/>
          <w:sz w:val="24"/>
          <w:szCs w:val="24"/>
        </w:rPr>
      </w:pPr>
      <w:r w:rsidRPr="00D25C75">
        <w:rPr>
          <w:rFonts w:ascii="Times New Roman" w:hAnsi="Times New Roman" w:cs="Times New Roman"/>
          <w:b/>
          <w:bCs/>
          <w:sz w:val="24"/>
          <w:szCs w:val="24"/>
        </w:rPr>
        <w:t>f. Model Visualization and Evaluation Charts</w:t>
      </w:r>
    </w:p>
    <w:p w14:paraId="5A56F272"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Visual evaluation played a vital role in interpreting model results and communicating findings to stakeholders.</w:t>
      </w:r>
    </w:p>
    <w:p w14:paraId="549FD941"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ROC Curves demonstrated that both models achieved strong separation between churners and non-churners, with the Logistic Regression curve consistently staying above the diagonal line, indicating superior performance.</w:t>
      </w:r>
    </w:p>
    <w:p w14:paraId="135E644A"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Lift and Gains Charts provided business-oriented insights. The top 20% of customers (based on predicted churn probability) captured nearly 65% of actual churners, confirming that the model can effectively identify the most valuable segment for retention campaigns.</w:t>
      </w:r>
    </w:p>
    <w:p w14:paraId="273A1DE9"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Confusion Matrices were used to illustrate classification performance, visually representing the balance between correct and incorrect predictions. This allowed for targeted optimization, such as tuning thresholds to improve recall without heavily sacrificing precision.</w:t>
      </w:r>
    </w:p>
    <w:p w14:paraId="7B9A41DE"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lastRenderedPageBreak/>
        <w:t>Additionally, Feature Importance Charts from the Random Forest model ranked the top predictors — Contract Type, Tenure, Monthly Charges, and Payment Method. These visuals clearly showed which factors most influenced customer decisions, simplifying managerial interpretation.</w:t>
      </w:r>
    </w:p>
    <w:p w14:paraId="67DDD3C3" w14:textId="77777777" w:rsidR="00491BCC" w:rsidRPr="00491BCC" w:rsidRDefault="00491BCC" w:rsidP="00491BCC">
      <w:pPr>
        <w:spacing w:line="360" w:lineRule="auto"/>
        <w:jc w:val="both"/>
        <w:rPr>
          <w:rFonts w:ascii="Times New Roman" w:hAnsi="Times New Roman" w:cs="Times New Roman"/>
          <w:sz w:val="24"/>
          <w:szCs w:val="24"/>
        </w:rPr>
      </w:pPr>
      <w:r w:rsidRPr="00491BCC">
        <w:rPr>
          <w:rFonts w:ascii="Times New Roman" w:hAnsi="Times New Roman" w:cs="Times New Roman"/>
          <w:sz w:val="24"/>
          <w:szCs w:val="24"/>
        </w:rPr>
        <w:t>Such graphical tools transform abstract model metrics into actionable business intelligence, making data-driven decision-making more intuitive and effective.</w:t>
      </w:r>
    </w:p>
    <w:p w14:paraId="29F1DD9C" w14:textId="77777777" w:rsidR="00976B9F" w:rsidRPr="00E55417" w:rsidRDefault="00976B9F" w:rsidP="00076632">
      <w:pPr>
        <w:spacing w:line="360" w:lineRule="auto"/>
        <w:jc w:val="both"/>
        <w:rPr>
          <w:rFonts w:ascii="Times New Roman" w:hAnsi="Times New Roman" w:cs="Times New Roman"/>
          <w:sz w:val="8"/>
          <w:szCs w:val="8"/>
        </w:rPr>
      </w:pPr>
    </w:p>
    <w:p w14:paraId="3606F787" w14:textId="0309C63F" w:rsidR="00976B9F" w:rsidRDefault="00976B9F" w:rsidP="0007663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Model Evaluation Charts</w:t>
      </w:r>
    </w:p>
    <w:p w14:paraId="118E91FC" w14:textId="77777777" w:rsidR="00976B9F" w:rsidRPr="00076632" w:rsidRDefault="00976B9F" w:rsidP="00076632">
      <w:pPr>
        <w:spacing w:line="360" w:lineRule="auto"/>
        <w:jc w:val="both"/>
        <w:rPr>
          <w:rFonts w:ascii="Times New Roman" w:hAnsi="Times New Roman" w:cs="Times New Roman"/>
          <w:b/>
          <w:bCs/>
          <w:sz w:val="8"/>
          <w:szCs w:val="8"/>
        </w:rPr>
      </w:pPr>
    </w:p>
    <w:p w14:paraId="551E33D7" w14:textId="661282E7" w:rsidR="00076632" w:rsidRDefault="00397C42" w:rsidP="00A46761">
      <w:pPr>
        <w:rPr>
          <w:rFonts w:ascii="Times New Roman" w:hAnsi="Times New Roman" w:cs="Times New Roman"/>
          <w:sz w:val="24"/>
          <w:szCs w:val="24"/>
        </w:rPr>
      </w:pPr>
      <w:r w:rsidRPr="00397C42">
        <w:rPr>
          <w:noProof/>
        </w:rPr>
        <w:drawing>
          <wp:inline distT="0" distB="0" distL="0" distR="0" wp14:anchorId="7BFC2BB2" wp14:editId="2440D405">
            <wp:extent cx="5731510" cy="4545330"/>
            <wp:effectExtent l="0" t="0" r="2540" b="7620"/>
            <wp:docPr id="58912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6282" name=""/>
                    <pic:cNvPicPr/>
                  </pic:nvPicPr>
                  <pic:blipFill>
                    <a:blip r:embed="rId5"/>
                    <a:stretch>
                      <a:fillRect/>
                    </a:stretch>
                  </pic:blipFill>
                  <pic:spPr>
                    <a:xfrm>
                      <a:off x="0" y="0"/>
                      <a:ext cx="5731510" cy="4545330"/>
                    </a:xfrm>
                    <a:prstGeom prst="rect">
                      <a:avLst/>
                    </a:prstGeom>
                  </pic:spPr>
                </pic:pic>
              </a:graphicData>
            </a:graphic>
          </wp:inline>
        </w:drawing>
      </w:r>
    </w:p>
    <w:p w14:paraId="40E0197E" w14:textId="77777777" w:rsidR="00976B9F" w:rsidRDefault="00976B9F" w:rsidP="00A46761">
      <w:pPr>
        <w:rPr>
          <w:rFonts w:ascii="Times New Roman" w:hAnsi="Times New Roman" w:cs="Times New Roman"/>
          <w:sz w:val="24"/>
          <w:szCs w:val="24"/>
        </w:rPr>
      </w:pPr>
    </w:p>
    <w:p w14:paraId="32E49F15" w14:textId="77777777" w:rsidR="00976B9F" w:rsidRDefault="00976B9F" w:rsidP="00A46761">
      <w:pPr>
        <w:rPr>
          <w:rFonts w:ascii="Times New Roman" w:hAnsi="Times New Roman" w:cs="Times New Roman"/>
          <w:sz w:val="24"/>
          <w:szCs w:val="24"/>
        </w:rPr>
      </w:pPr>
    </w:p>
    <w:p w14:paraId="2D39A376" w14:textId="77777777" w:rsidR="00976B9F" w:rsidRDefault="00976B9F" w:rsidP="00A46761">
      <w:pPr>
        <w:rPr>
          <w:rFonts w:ascii="Times New Roman" w:hAnsi="Times New Roman" w:cs="Times New Roman"/>
          <w:sz w:val="24"/>
          <w:szCs w:val="24"/>
        </w:rPr>
      </w:pPr>
    </w:p>
    <w:p w14:paraId="269D7BBE" w14:textId="77777777" w:rsidR="00976B9F" w:rsidRDefault="00976B9F" w:rsidP="00A46761">
      <w:pPr>
        <w:rPr>
          <w:rFonts w:ascii="Times New Roman" w:hAnsi="Times New Roman" w:cs="Times New Roman"/>
          <w:sz w:val="24"/>
          <w:szCs w:val="24"/>
        </w:rPr>
      </w:pPr>
    </w:p>
    <w:p w14:paraId="04AFA178" w14:textId="6F34D5DF" w:rsidR="00976B9F" w:rsidRDefault="00976B9F" w:rsidP="00A46761">
      <w:pPr>
        <w:rPr>
          <w:rFonts w:ascii="Times New Roman" w:hAnsi="Times New Roman" w:cs="Times New Roman"/>
          <w:sz w:val="24"/>
          <w:szCs w:val="24"/>
        </w:rPr>
      </w:pPr>
      <w:r>
        <w:rPr>
          <w:rFonts w:ascii="Times New Roman" w:hAnsi="Times New Roman" w:cs="Times New Roman"/>
          <w:sz w:val="24"/>
          <w:szCs w:val="24"/>
        </w:rPr>
        <w:br/>
      </w:r>
    </w:p>
    <w:p w14:paraId="31BF49D1" w14:textId="3FB194B3" w:rsidR="003E2F53" w:rsidRDefault="003E2F53" w:rsidP="00A46761">
      <w:pPr>
        <w:rPr>
          <w:rFonts w:ascii="Times New Roman" w:hAnsi="Times New Roman" w:cs="Times New Roman"/>
          <w:b/>
          <w:bCs/>
          <w:sz w:val="28"/>
          <w:szCs w:val="28"/>
        </w:rPr>
      </w:pPr>
      <w:r w:rsidRPr="003E2F53">
        <w:rPr>
          <w:rFonts w:ascii="Times New Roman" w:hAnsi="Times New Roman" w:cs="Times New Roman"/>
          <w:b/>
          <w:bCs/>
          <w:sz w:val="28"/>
          <w:szCs w:val="28"/>
        </w:rPr>
        <w:lastRenderedPageBreak/>
        <w:t>Deployment and Updating</w:t>
      </w:r>
    </w:p>
    <w:p w14:paraId="659CDD23" w14:textId="7EF7F7CE" w:rsidR="003E2F53" w:rsidRDefault="003E2F53" w:rsidP="003E2F53">
      <w:pPr>
        <w:spacing w:line="360" w:lineRule="auto"/>
        <w:jc w:val="both"/>
        <w:rPr>
          <w:rFonts w:ascii="Times New Roman" w:hAnsi="Times New Roman" w:cs="Times New Roman"/>
          <w:sz w:val="24"/>
          <w:szCs w:val="24"/>
        </w:rPr>
      </w:pPr>
      <w:r w:rsidRPr="003E2F53">
        <w:rPr>
          <w:rFonts w:ascii="Times New Roman" w:hAnsi="Times New Roman" w:cs="Times New Roman"/>
          <w:sz w:val="24"/>
          <w:szCs w:val="24"/>
        </w:rPr>
        <w:t>The deployment phase is the final and most practical stage of the churn prediction project, where the developed models are integrated into a real-world environment to generate actionable insights for business decision-making. The ultimate goal is to make the predictive models usable by non-technical business teams—such as marketing, customer relationship management, and operations—so that they can monitor customer churn risk in real time and implement targeted retention strategies effectively. This section outlines the procedures for model deployment, monitoring, and periodic updating, ensuring that the churn prediction system remains accurate and relevant over time.</w:t>
      </w:r>
    </w:p>
    <w:p w14:paraId="10CF2AB6" w14:textId="77777777" w:rsidR="00397C42" w:rsidRPr="00397C42" w:rsidRDefault="00397C42" w:rsidP="00397C42">
      <w:pPr>
        <w:spacing w:line="360" w:lineRule="auto"/>
        <w:jc w:val="both"/>
        <w:rPr>
          <w:rFonts w:ascii="Times New Roman" w:hAnsi="Times New Roman" w:cs="Times New Roman"/>
          <w:b/>
          <w:bCs/>
          <w:sz w:val="24"/>
          <w:szCs w:val="24"/>
        </w:rPr>
      </w:pPr>
      <w:r w:rsidRPr="00397C42">
        <w:rPr>
          <w:rFonts w:ascii="Times New Roman" w:hAnsi="Times New Roman" w:cs="Times New Roman"/>
          <w:b/>
          <w:bCs/>
          <w:sz w:val="24"/>
          <w:szCs w:val="24"/>
        </w:rPr>
        <w:t>a. Model Monitoring</w:t>
      </w:r>
    </w:p>
    <w:p w14:paraId="76A63944"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After a predictive model is deployed in a production environment, its performance must be continuously monitored to ensure stability and reliability.</w:t>
      </w:r>
    </w:p>
    <w:p w14:paraId="61EFEBE6"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Model monitoring involves tracking metrics such as accuracy, ROC-AUC, and calibration over time to detect model drift — the gradual degradation of performance due to evolving customer behavior or market conditions.</w:t>
      </w:r>
    </w:p>
    <w:p w14:paraId="4C39BCAE"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Dashboards can visualize these trends, allowing data analysts and business users to identify performance deviations early. Monitoring also includes data drift detection, ensuring that input data remains consistent with the patterns observed during training.</w:t>
      </w:r>
    </w:p>
    <w:p w14:paraId="5E084F27"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In the telecom sector, frequent product updates, pricing changes, or new competitors can alter customer dynamics. Thus, real-time monitoring acts as an early warning system, ensuring timely intervention and retraining of the model.</w:t>
      </w:r>
    </w:p>
    <w:p w14:paraId="7FD1733D" w14:textId="77777777" w:rsidR="00397C42" w:rsidRPr="00397C42" w:rsidRDefault="001828C9" w:rsidP="00397C42">
      <w:pPr>
        <w:spacing w:line="360" w:lineRule="auto"/>
        <w:jc w:val="both"/>
        <w:rPr>
          <w:rFonts w:ascii="Times New Roman" w:hAnsi="Times New Roman" w:cs="Times New Roman"/>
          <w:b/>
          <w:bCs/>
          <w:sz w:val="24"/>
          <w:szCs w:val="24"/>
        </w:rPr>
      </w:pPr>
      <w:r w:rsidRPr="001828C9">
        <w:rPr>
          <w:rFonts w:ascii="Times New Roman" w:hAnsi="Times New Roman" w:cs="Times New Roman"/>
          <w:b/>
          <w:bCs/>
          <w:noProof/>
          <w:sz w:val="24"/>
          <w:szCs w:val="24"/>
        </w:rPr>
        <w:pict w14:anchorId="69B7DED7">
          <v:rect id="_x0000_i1026" alt="" style="width:451.3pt;height:.05pt;mso-width-percent:0;mso-height-percent:0;mso-width-percent:0;mso-height-percent:0" o:hralign="center" o:hrstd="t" o:hr="t" fillcolor="#a0a0a0" stroked="f"/>
        </w:pict>
      </w:r>
    </w:p>
    <w:p w14:paraId="213EF6D4" w14:textId="77777777" w:rsidR="00397C42" w:rsidRPr="00397C42" w:rsidRDefault="00397C42" w:rsidP="00397C42">
      <w:pPr>
        <w:spacing w:line="360" w:lineRule="auto"/>
        <w:jc w:val="both"/>
        <w:rPr>
          <w:rFonts w:ascii="Times New Roman" w:hAnsi="Times New Roman" w:cs="Times New Roman"/>
          <w:b/>
          <w:bCs/>
          <w:sz w:val="24"/>
          <w:szCs w:val="24"/>
        </w:rPr>
      </w:pPr>
      <w:r w:rsidRPr="00397C42">
        <w:rPr>
          <w:rFonts w:ascii="Times New Roman" w:hAnsi="Times New Roman" w:cs="Times New Roman"/>
          <w:b/>
          <w:bCs/>
          <w:sz w:val="24"/>
          <w:szCs w:val="24"/>
        </w:rPr>
        <w:t>b. Model Updating and Retraining</w:t>
      </w:r>
    </w:p>
    <w:p w14:paraId="078FECAD"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Predictive models are not static; they must evolve with time. Customer behavior changes, and so must the underlying models that represent it.</w:t>
      </w:r>
    </w:p>
    <w:p w14:paraId="37774B2A"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Regular retraining cycles, typically every three to six months, ensure the model remains current with recent customer data. Retraining involves re-collecting data, cleaning it, and updating model weights to reflect new trends.</w:t>
      </w:r>
    </w:p>
    <w:p w14:paraId="768B6B70"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lastRenderedPageBreak/>
        <w:t>A systematic version control process tracks model versions, ensuring that each update is tested and validated before deployment. This guarantees both reproducibility and traceability.</w:t>
      </w:r>
    </w:p>
    <w:p w14:paraId="5DA59814"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For organizations handling high-volume data streams, automated retraining pipelines can be established. These pipelines can detect when model accuracy drops below a certain threshold and trigger automatic retraining, thereby maintaining continuous accuracy in real-world deployment.</w:t>
      </w:r>
    </w:p>
    <w:p w14:paraId="34C822CA"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Retraining not only improves performance but also prevents bias accumulation, ensuring ethical and fair predictive outcomes.</w:t>
      </w:r>
    </w:p>
    <w:p w14:paraId="7CEB6BF5" w14:textId="77777777" w:rsidR="00397C42" w:rsidRPr="00397C42" w:rsidRDefault="001828C9" w:rsidP="00397C42">
      <w:pPr>
        <w:spacing w:line="360" w:lineRule="auto"/>
        <w:jc w:val="both"/>
        <w:rPr>
          <w:rFonts w:ascii="Times New Roman" w:hAnsi="Times New Roman" w:cs="Times New Roman"/>
          <w:b/>
          <w:bCs/>
          <w:sz w:val="24"/>
          <w:szCs w:val="24"/>
        </w:rPr>
      </w:pPr>
      <w:r w:rsidRPr="001828C9">
        <w:rPr>
          <w:rFonts w:ascii="Times New Roman" w:hAnsi="Times New Roman" w:cs="Times New Roman"/>
          <w:b/>
          <w:bCs/>
          <w:noProof/>
          <w:sz w:val="24"/>
          <w:szCs w:val="24"/>
        </w:rPr>
        <w:pict w14:anchorId="51313960">
          <v:rect id="_x0000_i1025" alt="" style="width:451.3pt;height:.05pt;mso-width-percent:0;mso-height-percent:0;mso-width-percent:0;mso-height-percent:0" o:hralign="center" o:hrstd="t" o:hr="t" fillcolor="#a0a0a0" stroked="f"/>
        </w:pict>
      </w:r>
    </w:p>
    <w:p w14:paraId="6E998844" w14:textId="77777777" w:rsidR="00397C42" w:rsidRPr="00397C42" w:rsidRDefault="00397C42" w:rsidP="00397C42">
      <w:pPr>
        <w:spacing w:line="360" w:lineRule="auto"/>
        <w:jc w:val="both"/>
        <w:rPr>
          <w:rFonts w:ascii="Times New Roman" w:hAnsi="Times New Roman" w:cs="Times New Roman"/>
          <w:b/>
          <w:bCs/>
          <w:sz w:val="24"/>
          <w:szCs w:val="24"/>
        </w:rPr>
      </w:pPr>
      <w:r w:rsidRPr="00397C42">
        <w:rPr>
          <w:rFonts w:ascii="Times New Roman" w:hAnsi="Times New Roman" w:cs="Times New Roman"/>
          <w:b/>
          <w:bCs/>
          <w:sz w:val="24"/>
          <w:szCs w:val="24"/>
        </w:rPr>
        <w:t>c. Meta-Modelling and Automation</w:t>
      </w:r>
    </w:p>
    <w:p w14:paraId="130D990F"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Meta-modeling adds a layer of intelligence to predictive analytics by managing multiple models simultaneously and selecting the most optimal one based on performance criteria.</w:t>
      </w:r>
    </w:p>
    <w:p w14:paraId="0BB58DC6"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This approach can combine the strengths of both Logistic Regression and Random Forest through techniques such as stacking or blending. The meta-model oversees base models, learns their error patterns, and makes more informed predictions.</w:t>
      </w:r>
    </w:p>
    <w:p w14:paraId="4F0C96AE"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Automation of this process can be achieved using modern MLOps (Machine Learning Operations) tools such as MLflow, Airflow, or Kubeflow, which support automated versioning, deployment, and retraining workflows.</w:t>
      </w:r>
    </w:p>
    <w:p w14:paraId="30FD826E"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In large organizations, such automation ensures that models remain up-to-date without manual intervention, drastically reducing human error and operational delays.</w:t>
      </w:r>
    </w:p>
    <w:p w14:paraId="08817B0C" w14:textId="77777777" w:rsidR="00397C42" w:rsidRPr="00397C42" w:rsidRDefault="00397C42" w:rsidP="00397C42">
      <w:pPr>
        <w:spacing w:line="360" w:lineRule="auto"/>
        <w:jc w:val="both"/>
        <w:rPr>
          <w:rFonts w:ascii="Times New Roman" w:hAnsi="Times New Roman" w:cs="Times New Roman"/>
          <w:b/>
          <w:bCs/>
          <w:sz w:val="24"/>
          <w:szCs w:val="24"/>
        </w:rPr>
      </w:pPr>
      <w:r w:rsidRPr="00397C42">
        <w:rPr>
          <w:rFonts w:ascii="Times New Roman" w:hAnsi="Times New Roman" w:cs="Times New Roman"/>
          <w:sz w:val="24"/>
          <w:szCs w:val="24"/>
        </w:rPr>
        <w:t>Meta-modeling thus represents the future of predictive analytics, where models are self-learning and self-correcting, continuously adapting to dynamic business environments</w:t>
      </w:r>
      <w:r w:rsidRPr="00397C42">
        <w:rPr>
          <w:rFonts w:ascii="Times New Roman" w:hAnsi="Times New Roman" w:cs="Times New Roman"/>
          <w:b/>
          <w:bCs/>
          <w:sz w:val="24"/>
          <w:szCs w:val="24"/>
        </w:rPr>
        <w:t>.</w:t>
      </w:r>
    </w:p>
    <w:p w14:paraId="1CD5348F" w14:textId="77777777" w:rsidR="003E2F53" w:rsidRPr="00E55417" w:rsidRDefault="003E2F53" w:rsidP="003E2F53">
      <w:pPr>
        <w:spacing w:line="360" w:lineRule="auto"/>
        <w:jc w:val="both"/>
        <w:rPr>
          <w:rFonts w:ascii="Times New Roman" w:hAnsi="Times New Roman" w:cs="Times New Roman"/>
          <w:sz w:val="8"/>
          <w:szCs w:val="8"/>
        </w:rPr>
      </w:pPr>
    </w:p>
    <w:p w14:paraId="63297F1B" w14:textId="4B57729A" w:rsidR="003E2F53" w:rsidRPr="003E2F53" w:rsidRDefault="003E2F53" w:rsidP="003E2F53">
      <w:pPr>
        <w:spacing w:line="360" w:lineRule="auto"/>
        <w:jc w:val="both"/>
        <w:rPr>
          <w:rFonts w:ascii="Times New Roman" w:hAnsi="Times New Roman" w:cs="Times New Roman"/>
          <w:b/>
          <w:bCs/>
          <w:sz w:val="28"/>
          <w:szCs w:val="28"/>
        </w:rPr>
      </w:pPr>
      <w:r w:rsidRPr="003E2F53">
        <w:rPr>
          <w:rFonts w:ascii="Times New Roman" w:hAnsi="Times New Roman" w:cs="Times New Roman"/>
          <w:b/>
          <w:bCs/>
          <w:sz w:val="28"/>
          <w:szCs w:val="28"/>
        </w:rPr>
        <w:t>Conclusion</w:t>
      </w:r>
    </w:p>
    <w:p w14:paraId="38288C6B"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This case study successfully demonstrates the end-to-end application of Inferential Statistics and Predictive Analytics in predicting customer churn. By combining Logistic Regression and Random Forest (CHAID-like) models, the project achieved a balance between statistical interpretability and predictive precision.</w:t>
      </w:r>
    </w:p>
    <w:p w14:paraId="069FB413"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lastRenderedPageBreak/>
        <w:t>The study revealed that contract type, tenure, monthly charges, and payment method are the most influential factors affecting churn. Short-term customers with higher bills are more likely to discontinue services, while long-term subscribers tend to remain loyal and satisfied.</w:t>
      </w:r>
    </w:p>
    <w:p w14:paraId="37CBF027"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From a business standpoint, these findings empower organizations to implement data-driven retention strategies such as personalized offers, loyalty programs, and proactive customer engagement. By identifying high-risk customers early, companies can focus their resources on the most vulnerable segments, thereby improving overall customer satisfaction and profitability.</w:t>
      </w:r>
    </w:p>
    <w:p w14:paraId="25C8EB4D"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The deployment framework proposed in this study ensures that the predictive system remains both sustainable and adaptive to evolving market trends. Continuous monitoring, retraining, and integration of meta-modeling practices enable the system to remain relevant and self-improving over time.</w:t>
      </w:r>
    </w:p>
    <w:p w14:paraId="27F7A85D"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This project highlights the transformative impact of integrating statistical reasoning with machine learning techniques. It illustrates how data analytics not only provides accurate predictions but also supports transparent and ethical decision-making within organizations.</w:t>
      </w:r>
    </w:p>
    <w:p w14:paraId="6302C4E2"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The analytical framework developed here can be extended to other industries such as banking, insurance, and e-commerce, where customer retention plays a critical role. By tailoring the model to new datasets, similar predictive solutions can enhance long-term relationship management across diverse sectors.</w:t>
      </w:r>
    </w:p>
    <w:p w14:paraId="7C480EC7"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Moreover, this case study establishes a blueprint for future predictive modeling pipelines, where explainability, automation, and scalability coexist. The combination of interpretable models and powerful ensemble techniques creates a strong foundation for enterprise-level analytics solutions.</w:t>
      </w:r>
    </w:p>
    <w:p w14:paraId="6FAE67BD" w14:textId="77777777" w:rsid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Ultimately, this project proves that machine learning, when grounded in sound statistical principles, can bridge the gap between technical modeling and strategic business decision-making. It contributes not only to academic learning but also to real-world operational excellence, paving the way for smarter, customer-centric organizations.</w:t>
      </w:r>
    </w:p>
    <w:p w14:paraId="0F331155" w14:textId="34FA8555" w:rsidR="00397C42" w:rsidRPr="00397C42" w:rsidRDefault="00397C42" w:rsidP="00397C42">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397C42">
        <w:rPr>
          <w:rFonts w:ascii="Times New Roman" w:hAnsi="Times New Roman" w:cs="Times New Roman"/>
          <w:sz w:val="24"/>
          <w:szCs w:val="24"/>
        </w:rPr>
        <w:t>he study underscores the importance of continuous innovation in analytics. As data ecosystems evolve, adaptive and transparent predictive systems like the one developed here will remain essential tools for achieving sustainable growth, competitive advantage, and long-term customer trust.</w:t>
      </w:r>
    </w:p>
    <w:p w14:paraId="45DF04CA"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lastRenderedPageBreak/>
        <w:t>Moreover, this case study establishes a blueprint for future predictive modeling pipelines, where explainability, automation, and scalability coexist. The combination of interpretable models and powerful ensemble techniques creates a strong foundation for enterprise-level analytics solutions.</w:t>
      </w:r>
    </w:p>
    <w:p w14:paraId="17C78729"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Ultimately, this project proves that machine learning, when grounded in sound statistical principles, can bridge the gap between technical modeling and strategic business decision-making. It contributes not only to academic learning but also to real-world operational excellence, paving the way for smarter, customer-centric organizations.</w:t>
      </w:r>
    </w:p>
    <w:p w14:paraId="5C98F833" w14:textId="77777777" w:rsidR="00397C42" w:rsidRPr="00397C42" w:rsidRDefault="00397C42" w:rsidP="00397C42">
      <w:pPr>
        <w:spacing w:line="360" w:lineRule="auto"/>
        <w:jc w:val="both"/>
        <w:rPr>
          <w:rFonts w:ascii="Times New Roman" w:hAnsi="Times New Roman" w:cs="Times New Roman"/>
          <w:sz w:val="24"/>
          <w:szCs w:val="24"/>
        </w:rPr>
      </w:pPr>
      <w:r w:rsidRPr="00397C42">
        <w:rPr>
          <w:rFonts w:ascii="Times New Roman" w:hAnsi="Times New Roman" w:cs="Times New Roman"/>
          <w:sz w:val="24"/>
          <w:szCs w:val="24"/>
        </w:rPr>
        <w:t>In conclusion, the study underscores the importance of continuous innovation in analytics. As data ecosystems evolve, adaptive and transparent predictive systems like the one developed here will remain essential tools for achieving sustainable growth, competitive advantage, and long-term customer trust.</w:t>
      </w:r>
    </w:p>
    <w:p w14:paraId="22AE3788" w14:textId="77777777" w:rsidR="003E2F53" w:rsidRPr="00397C42" w:rsidRDefault="003E2F53" w:rsidP="00397C42">
      <w:pPr>
        <w:spacing w:line="360" w:lineRule="auto"/>
        <w:jc w:val="both"/>
        <w:rPr>
          <w:rFonts w:ascii="Times New Roman" w:hAnsi="Times New Roman" w:cs="Times New Roman"/>
          <w:sz w:val="24"/>
          <w:szCs w:val="24"/>
        </w:rPr>
      </w:pPr>
    </w:p>
    <w:sectPr w:rsidR="003E2F53" w:rsidRPr="00397C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166"/>
    <w:multiLevelType w:val="multilevel"/>
    <w:tmpl w:val="692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82355"/>
    <w:multiLevelType w:val="multilevel"/>
    <w:tmpl w:val="566A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C1C39"/>
    <w:multiLevelType w:val="multilevel"/>
    <w:tmpl w:val="E84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40577"/>
    <w:multiLevelType w:val="multilevel"/>
    <w:tmpl w:val="A310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0758C"/>
    <w:multiLevelType w:val="multilevel"/>
    <w:tmpl w:val="9EB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B3E7F"/>
    <w:multiLevelType w:val="multilevel"/>
    <w:tmpl w:val="B11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C18AA"/>
    <w:multiLevelType w:val="multilevel"/>
    <w:tmpl w:val="AFA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EBB"/>
    <w:multiLevelType w:val="multilevel"/>
    <w:tmpl w:val="256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44C61"/>
    <w:multiLevelType w:val="multilevel"/>
    <w:tmpl w:val="B3D0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A7277"/>
    <w:multiLevelType w:val="multilevel"/>
    <w:tmpl w:val="0FC4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6123DE"/>
    <w:multiLevelType w:val="multilevel"/>
    <w:tmpl w:val="7EC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84CA3"/>
    <w:multiLevelType w:val="multilevel"/>
    <w:tmpl w:val="76F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36D3F"/>
    <w:multiLevelType w:val="multilevel"/>
    <w:tmpl w:val="C278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9C52E0"/>
    <w:multiLevelType w:val="multilevel"/>
    <w:tmpl w:val="3A5C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766470">
    <w:abstractNumId w:val="4"/>
  </w:num>
  <w:num w:numId="2" w16cid:durableId="59521153">
    <w:abstractNumId w:val="8"/>
  </w:num>
  <w:num w:numId="3" w16cid:durableId="693265430">
    <w:abstractNumId w:val="9"/>
  </w:num>
  <w:num w:numId="4" w16cid:durableId="383259972">
    <w:abstractNumId w:val="2"/>
  </w:num>
  <w:num w:numId="5" w16cid:durableId="1832524122">
    <w:abstractNumId w:val="5"/>
  </w:num>
  <w:num w:numId="6" w16cid:durableId="1960258184">
    <w:abstractNumId w:val="11"/>
  </w:num>
  <w:num w:numId="7" w16cid:durableId="807816685">
    <w:abstractNumId w:val="3"/>
  </w:num>
  <w:num w:numId="8" w16cid:durableId="648830177">
    <w:abstractNumId w:val="7"/>
  </w:num>
  <w:num w:numId="9" w16cid:durableId="2029479205">
    <w:abstractNumId w:val="1"/>
  </w:num>
  <w:num w:numId="10" w16cid:durableId="1146315241">
    <w:abstractNumId w:val="6"/>
  </w:num>
  <w:num w:numId="11" w16cid:durableId="815999648">
    <w:abstractNumId w:val="10"/>
  </w:num>
  <w:num w:numId="12" w16cid:durableId="517617269">
    <w:abstractNumId w:val="12"/>
  </w:num>
  <w:num w:numId="13" w16cid:durableId="2078283333">
    <w:abstractNumId w:val="13"/>
  </w:num>
  <w:num w:numId="14" w16cid:durableId="43367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FA"/>
    <w:rsid w:val="00076632"/>
    <w:rsid w:val="001124FE"/>
    <w:rsid w:val="001828C9"/>
    <w:rsid w:val="0028798C"/>
    <w:rsid w:val="002C09E5"/>
    <w:rsid w:val="002E4940"/>
    <w:rsid w:val="00301CC9"/>
    <w:rsid w:val="0034326C"/>
    <w:rsid w:val="00355892"/>
    <w:rsid w:val="00367460"/>
    <w:rsid w:val="00397C42"/>
    <w:rsid w:val="003E2F53"/>
    <w:rsid w:val="00491BCC"/>
    <w:rsid w:val="00537D5B"/>
    <w:rsid w:val="00667C83"/>
    <w:rsid w:val="00697EFA"/>
    <w:rsid w:val="006E45F3"/>
    <w:rsid w:val="007B751B"/>
    <w:rsid w:val="007E1B95"/>
    <w:rsid w:val="008022DC"/>
    <w:rsid w:val="008039BE"/>
    <w:rsid w:val="008B2C12"/>
    <w:rsid w:val="00976B9F"/>
    <w:rsid w:val="00A15A89"/>
    <w:rsid w:val="00A305F9"/>
    <w:rsid w:val="00A46761"/>
    <w:rsid w:val="00A63C63"/>
    <w:rsid w:val="00B24478"/>
    <w:rsid w:val="00BE276C"/>
    <w:rsid w:val="00D25C75"/>
    <w:rsid w:val="00D73790"/>
    <w:rsid w:val="00DF2A4A"/>
    <w:rsid w:val="00E22D18"/>
    <w:rsid w:val="00E55417"/>
    <w:rsid w:val="00FE0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792F"/>
  <w15:chartTrackingRefBased/>
  <w15:docId w15:val="{16E62857-8733-401E-B3A0-91B64E8C9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E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E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E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E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E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E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E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E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E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E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EFA"/>
    <w:rPr>
      <w:rFonts w:eastAsiaTheme="majorEastAsia" w:cstheme="majorBidi"/>
      <w:color w:val="272727" w:themeColor="text1" w:themeTint="D8"/>
    </w:rPr>
  </w:style>
  <w:style w:type="paragraph" w:styleId="Title">
    <w:name w:val="Title"/>
    <w:basedOn w:val="Normal"/>
    <w:next w:val="Normal"/>
    <w:link w:val="TitleChar"/>
    <w:uiPriority w:val="10"/>
    <w:qFormat/>
    <w:rsid w:val="00697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EFA"/>
    <w:pPr>
      <w:spacing w:before="160"/>
      <w:jc w:val="center"/>
    </w:pPr>
    <w:rPr>
      <w:i/>
      <w:iCs/>
      <w:color w:val="404040" w:themeColor="text1" w:themeTint="BF"/>
    </w:rPr>
  </w:style>
  <w:style w:type="character" w:customStyle="1" w:styleId="QuoteChar">
    <w:name w:val="Quote Char"/>
    <w:basedOn w:val="DefaultParagraphFont"/>
    <w:link w:val="Quote"/>
    <w:uiPriority w:val="29"/>
    <w:rsid w:val="00697EFA"/>
    <w:rPr>
      <w:i/>
      <w:iCs/>
      <w:color w:val="404040" w:themeColor="text1" w:themeTint="BF"/>
    </w:rPr>
  </w:style>
  <w:style w:type="paragraph" w:styleId="ListParagraph">
    <w:name w:val="List Paragraph"/>
    <w:basedOn w:val="Normal"/>
    <w:uiPriority w:val="34"/>
    <w:qFormat/>
    <w:rsid w:val="00697EFA"/>
    <w:pPr>
      <w:ind w:left="720"/>
      <w:contextualSpacing/>
    </w:pPr>
  </w:style>
  <w:style w:type="character" w:styleId="IntenseEmphasis">
    <w:name w:val="Intense Emphasis"/>
    <w:basedOn w:val="DefaultParagraphFont"/>
    <w:uiPriority w:val="21"/>
    <w:qFormat/>
    <w:rsid w:val="00697EFA"/>
    <w:rPr>
      <w:i/>
      <w:iCs/>
      <w:color w:val="2F5496" w:themeColor="accent1" w:themeShade="BF"/>
    </w:rPr>
  </w:style>
  <w:style w:type="paragraph" w:styleId="IntenseQuote">
    <w:name w:val="Intense Quote"/>
    <w:basedOn w:val="Normal"/>
    <w:next w:val="Normal"/>
    <w:link w:val="IntenseQuoteChar"/>
    <w:uiPriority w:val="30"/>
    <w:qFormat/>
    <w:rsid w:val="00697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EFA"/>
    <w:rPr>
      <w:i/>
      <w:iCs/>
      <w:color w:val="2F5496" w:themeColor="accent1" w:themeShade="BF"/>
    </w:rPr>
  </w:style>
  <w:style w:type="character" w:styleId="IntenseReference">
    <w:name w:val="Intense Reference"/>
    <w:basedOn w:val="DefaultParagraphFont"/>
    <w:uiPriority w:val="32"/>
    <w:qFormat/>
    <w:rsid w:val="00697EFA"/>
    <w:rPr>
      <w:b/>
      <w:bCs/>
      <w:smallCaps/>
      <w:color w:val="2F5496" w:themeColor="accent1" w:themeShade="BF"/>
      <w:spacing w:val="5"/>
    </w:rPr>
  </w:style>
  <w:style w:type="table" w:styleId="TableGrid">
    <w:name w:val="Table Grid"/>
    <w:basedOn w:val="TableNormal"/>
    <w:uiPriority w:val="39"/>
    <w:rsid w:val="00A30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3855</Words>
  <Characters>21975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TEJA</dc:creator>
  <cp:keywords/>
  <dc:description/>
  <cp:lastModifiedBy>Goshike Aaditya</cp:lastModifiedBy>
  <cp:revision>4</cp:revision>
  <dcterms:created xsi:type="dcterms:W3CDTF">2025-11-06T18:55:00Z</dcterms:created>
  <dcterms:modified xsi:type="dcterms:W3CDTF">2025-11-06T19:21:00Z</dcterms:modified>
</cp:coreProperties>
</file>