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8"/>
          <w:szCs w:val="48"/>
        </w:rPr>
        <w:t xml:space="preserve">Penetration Testing Report</w:t>
      </w:r>
    </w:p>
    <w:p>
      <w:pPr>
        <w:spacing w:after="40"/>
      </w:pPr>
      <w:r>
        <w:rPr>
          <w:color w:val="595959"/>
          <w:sz w:val="26"/>
          <w:szCs w:val="26"/>
        </w:rPr>
        <w:t xml:space="preserve">Mediroza General Hospital — Black-Box Web Application Assessment</w:t>
      </w:r>
    </w:p>
    <w:p>
      <w:pPr>
        <w:spacing w:after="360"/>
      </w:pPr>
      <w:r>
        <w:rPr>
          <w:color w:val="808080"/>
          <w:sz w:val="20"/>
          <w:szCs w:val="20"/>
        </w:rPr>
        <w:t xml:space="preserve">Target: medirozahospital.com   |   Engagement type: Black-box pentest   |   Duration: 5 days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report documents a black-box penetration test conducted against Mediroza General Hospital's patient-facing web application, performed under written authorization as part of an authorized training engagement. The objective was to identify vulnerabilities that could expose confidential patient and business data, demonstrate real-world impact, and provide actionable remediation guidance.</w:t>
      </w:r>
    </w:p>
    <w:p>
      <w:pPr>
        <w:spacing w:after="160"/>
      </w:pPr>
      <w:r>
        <w:t xml:space="preserve">Three findings were identified, ranging from Medium to Critical risk. The most severe finding — an exposed legacy database backup — would allow any unauthenticated visitor to retrieve the full salary and personal records of hospital staff. In combination with a broken access control issue on the patient portal, these findings represent a significant risk to patient confidentiality and staff privacy, and warrant prompt remediation.</w:t>
      </w:r>
    </w:p>
    <w:p>
      <w:pPr>
        <w:pStyle w:val="Heading1"/>
        <w:spacing w:after="160" w:before="360"/>
      </w:pPr>
      <w:r>
        <w:t xml:space="preserve">2. Scope and Methodology</w:t>
      </w:r>
    </w:p>
    <w:p>
      <w:pPr>
        <w:spacing w:after="160"/>
      </w:pPr>
      <w:r>
        <w:t xml:space="preserve">Testing was limited to the target domain (medirozahospital.com) under a full black-box methodology: no credentials or internal documentation were provided in advance. Social engineering and denial-of-service testing were explicitly out of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Reconnaissance and content discovery against the target domain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Analysis of the patient portal's authentication and file-access behavior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Extraction and dictionary-based cracking of PDF password hashes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Metadata and directory-exposure review following successful data retrieval</w:t>
      </w:r>
    </w:p>
    <w:p>
      <w:pPr>
        <w:spacing w:after="160"/>
      </w:pPr>
      <w:r>
        <w:t xml:space="preserve">Tools used included a browser-based proxy workflow, a PDF hash extraction utility, and a dictionary attack tool to recover PDF passwords.</w:t>
      </w:r>
    </w:p>
    <w:p>
      <w:pPr>
        <w:pStyle w:val="Heading1"/>
        <w:spacing w:after="160" w:before="360"/>
      </w:pPr>
      <w:r>
        <w:t xml:space="preserve">3. Findings and Proof of Exploitation</w:t>
      </w:r>
    </w:p>
    <w:p>
      <w:pPr>
        <w:spacing w:after="160"/>
      </w:pPr>
      <w:r>
        <w:t xml:space="preserve">A summary of all findings is provided below, followed by supporting evidence for each. Patient and staff identifiers in the screenshots have been redacted for this report; unredacted evidence was provided separately through the engagement's confidential channel.</w:t>
      </w:r>
    </w:p>
    <w:p>
      <w:pPr>
        <w:spacing w:after="12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5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</w:tr>
      <w:tr>
        <w:tc>
          <w:tcPr>
            <w:tcW w:type="dxa" w:w="3200"/>
          </w:tcPr>
          <w:p>
            <w:r>
              <w:t xml:space="preserve">Patient lab-report portal allowed retrieval of other patients' password-protected PDF reports</w:t>
            </w:r>
          </w:p>
        </w:tc>
        <w:tc>
          <w:tcPr>
            <w:tcW w:type="dxa" w:w="2600"/>
          </w:tcPr>
          <w:p>
            <w:r>
              <w:t xml:space="preserve">Broken Access Control (OWASP A01:2021)</w:t>
            </w:r>
          </w:p>
        </w:tc>
        <w:tc>
          <w:tcPr>
            <w:tcW w:type="dxa" w:w="2000"/>
            <w:shd w:fill="FFD9D9" w:val="clear"/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3200"/>
          </w:tcPr>
          <w:p>
            <w:r>
              <w:t xml:space="preserve">Retrieved PDFs were protected with weak, dictionary-crackable passwords</w:t>
            </w:r>
          </w:p>
        </w:tc>
        <w:tc>
          <w:tcPr>
            <w:tcW w:type="dxa" w:w="2600"/>
          </w:tcPr>
          <w:p>
            <w:r>
              <w:t xml:space="preserve">Weak Cryptographic Protection</w:t>
            </w:r>
          </w:p>
        </w:tc>
        <w:tc>
          <w:tcPr>
            <w:tcW w:type="dxa" w:w="2000"/>
            <w:shd w:fill="FFF3CD" w:val="clear"/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3200"/>
          </w:tcPr>
          <w:p>
            <w:r>
              <w:t xml:space="preserve">Unsecured /old/ directory exposed a legacy SQL database backup containing full staff salary and personal data</w:t>
            </w:r>
          </w:p>
        </w:tc>
        <w:tc>
          <w:tcPr>
            <w:tcW w:type="dxa" w:w="2600"/>
          </w:tcPr>
          <w:p>
            <w:r>
              <w:t xml:space="preserve">Sensitive Data Exposure / Security Misconfiguration (OWASP A05:2021)</w:t>
            </w:r>
          </w:p>
        </w:tc>
        <w:tc>
          <w:tcPr>
            <w:tcW w:type="dxa" w:w="2000"/>
            <w:shd w:fill="F8CBAD" w:val="clear"/>
          </w:tcPr>
          <w:p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3.1 Finding 1 — Broken Access Control on Patient Portal</w:t>
      </w:r>
    </w:p>
    <w:p>
      <w:pPr>
        <w:spacing w:after="160"/>
      </w:pPr>
      <w:r>
        <w:t xml:space="preserve">The patient lab-report portal listed downloadable, password-protected pathology reports. The access control mechanism governing which reports a given session could view/download did not reliably restrict access to the authenticated patient's own records.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1 — Patient portal listing downloadable lab reports (patient identifiers redacted).</w:t>
      </w:r>
    </w:p>
    <w:p>
      <w:pPr>
        <w:pStyle w:val="Heading2"/>
        <w:spacing w:after="120" w:before="280"/>
      </w:pPr>
      <w:r>
        <w:t xml:space="preserve">3.2 Finding 2 — Weak PDF Encryption</w:t>
      </w:r>
    </w:p>
    <w:p>
      <w:pPr>
        <w:spacing w:after="160"/>
      </w:pPr>
      <w:r>
        <w:t xml:space="preserve">The password hash of each retrieved PDF was extracted and run through a dictionary attack. All three reports' passwords were recovered within seconds, indicating weak, predictable, or default passwords were used to protect confidential medical documents.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2 — Dictionary attack recovering the password for Report 1.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3 — Dictionary attack recovering the password for Report 2.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4 — Dictionary attack recovering the password for Report 3, including the extracted $pdf$ hash.</w:t>
      </w:r>
    </w:p>
    <w:p>
      <w:pPr>
        <w:spacing w:after="160"/>
      </w:pPr>
      <w:r>
        <w:t xml:space="preserve">Once decrypted, each report's contents were fully accessible, confirming the real-world impact of the weak protection: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5 — Decrypted contents of Patient Report 1 (patient identifiers redacted).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6 — Decrypted contents of Patient Report 2 (patient identifiers redacted).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7 — Decrypted contents of Patient Report 3 (patient identifiers redacted).</w:t>
      </w:r>
    </w:p>
    <w:p>
      <w:pPr>
        <w:pStyle w:val="Heading2"/>
        <w:spacing w:after="120" w:before="280"/>
      </w:pPr>
      <w:r>
        <w:t xml:space="preserve">3.3 Finding 3 — Exposed Legacy Database Backup</w:t>
      </w:r>
    </w:p>
    <w:p>
      <w:pPr>
        <w:spacing w:after="160"/>
      </w:pPr>
      <w:r>
        <w:t xml:space="preserve">Further analysis uncovered an unsecured /old/ directory on the webserver, which was both browsable and unauthenticated. It contained a legacy SQL database backup exposing the full 'staff' table, including names, contact details, national ID numbers, and salary data for all hospital employees.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8 — Directory listing exposing the legacy database backup file.</w:t>
      </w:r>
    </w:p>
    <w:p>
      <w:pPr>
        <w:spacing w:after="80" w:before="120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Figure 9 — Exposed SQL backup showing the staff table schema (data rows redacted for this report).</w:t>
      </w:r>
    </w:p>
    <w:p>
      <w:pPr>
        <w:pStyle w:val="Heading1"/>
        <w:spacing w:after="160" w:before="360"/>
      </w:pPr>
      <w:r>
        <w:t xml:space="preserve">4. Risk Rating</w:t>
      </w:r>
    </w:p>
    <w:p>
      <w:pPr>
        <w:spacing w:after="160"/>
      </w:pPr>
      <w:r>
        <w:t xml:space="preserve">Risk ratings reflect both the ease of exploitation and the sensitivity of data exposed: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 — Exposed database backup (Finding 3): trivially discoverable, unauthenticated, and exposes complete PII and compensation data for all staff.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 — Broken access control on patient portal (Finding 1): exposes PHI without requiring any specialized tooling.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 — Weak PDF encryption (Finding 2): requires an additional cracking step, but with negligible effort given the weak password choices observed.</w:t>
      </w:r>
    </w:p>
    <w:p>
      <w:pPr>
        <w:pStyle w:val="Heading1"/>
        <w:spacing w:after="160" w:before="360"/>
      </w:pPr>
      <w:r>
        <w:t xml:space="preserve">5. Recommendations and Remediation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Enforce server-side authorization checks on every patient record and document reference; never rely on an identifier being hard to guess.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strong, randomly generated passwords or keys to any document containing PHI — never user-chosen or pattern-based passwords.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all legacy/backup files from publicly accessible web directories, and disable directory listing on the webserver.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 a routine audit of publicly exposed paths and files, particularly after CMS updates or backups.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least-privilege access to HR and financial data, and ensure it is never reachable from the same storage path as patient-facing content.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This report was produced as part of an authorized training engagement (Networkwalks, Batch B083) and documents findings against a purpose-built lab target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579f507635395eca238d84ded6835f54b61d40.png"/><Relationship Id="rId8" Type="http://schemas.openxmlformats.org/officeDocument/2006/relationships/image" Target="media/18451052fc386c02ceae0f96153e79d39d08a70c.png"/><Relationship Id="rId9" Type="http://schemas.openxmlformats.org/officeDocument/2006/relationships/image" Target="media/3445c251349696b98ac4bbc07339a5cf66ce1745.png"/><Relationship Id="rId10" Type="http://schemas.openxmlformats.org/officeDocument/2006/relationships/image" Target="media/a9d82960ef84e53732cc26718dce387afd2b6634.png"/><Relationship Id="rId11" Type="http://schemas.openxmlformats.org/officeDocument/2006/relationships/image" Target="media/f445d93cf9e0b61c960f41e99c623c559a588844.png"/><Relationship Id="rId12" Type="http://schemas.openxmlformats.org/officeDocument/2006/relationships/image" Target="media/e451b3e79d999f2b233e0f25b4e53619f47b57de.png"/><Relationship Id="rId13" Type="http://schemas.openxmlformats.org/officeDocument/2006/relationships/image" Target="media/b358305930caee3638dc585d1bf677db5ab39327.png"/><Relationship Id="rId14" Type="http://schemas.openxmlformats.org/officeDocument/2006/relationships/image" Target="media/2b0f229436d41c3696ccee7be62485c689e72b17.png"/><Relationship Id="rId15" Type="http://schemas.openxmlformats.org/officeDocument/2006/relationships/image" Target="media/11430468b33d8a19530035fd8976b33b15ee535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2026-10-02T21:15:45.553Z</dcterms:created>
  <dcterms:modified xsi:type="dcterms:W3CDTF">2026-10-02T21:15:45.561Z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