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/>
          <w:sz w:val="36"/>
        </w:rPr>
        <w:t>2026-11-01 方案直达</w:t>
      </w:r>
    </w:p>
    <w:p/>
    <w:p>
      <w:r>
        <w:rPr>
          <w:rFonts w:ascii="Microsoft YaHei" w:hAnsi="Microsoft YaHei" w:eastAsia="Microsoft YaHei"/>
          <w:b/>
          <w:sz w:val="36"/>
        </w:rPr>
        <w:t>方案直达测试边界</w:t>
      </w:r>
    </w:p>
    <w:p/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仪表盘里的方案链接形如 `/workflow.html?plan=` 加方案编号。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编号只允许 8 到 80 位字母、数字、下划线和连字符。空值、路径和其他字符回到不带参数的工作台。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工作台读取同样的规则。不合法的参数不会发起方案请求。</w:t>
      </w:r>
    </w:p>
    <w:p>
      <w:pPr>
        <w:pStyle w:val="ListBullet"/>
      </w:pPr>
      <w:r>
        <w:rPr>
          <w:rFonts w:ascii="Microsoft YaHei" w:hAnsi="Microsoft YaHei" w:eastAsia="Microsoft YaHei"/>
          <w:b w:val="0"/>
          <w:sz w:val="22"/>
        </w:rPr>
        <w:t>合法编号会请求当前用户的方案。别的用户或不存在的编号由原有接口返回 404，不会打开别人的数据。</w:t>
      </w:r>
    </w:p>
    <w:p/>
    <w:p>
      <w:r>
        <w:rPr>
          <w:rFonts w:ascii="Microsoft YaHei" w:hAnsi="Microsoft YaHei" w:eastAsia="Microsoft YaHei"/>
          <w:b w:val="0"/>
          <w:sz w:val="22"/>
        </w:rPr>
        <w:t>仪表盘点击方案后，工作台打开同一编号。这样减少从列表再找一次方案的时间。未做浏览器点击验收。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