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余额刷新</w:t>
      </w:r>
    </w:p>
    <w:p/>
    <w:p>
      <w:r>
        <w:rPr>
          <w:rFonts w:ascii="Microsoft YaHei" w:hAnsi="Microsoft YaHei" w:eastAsia="Microsoft YaHei"/>
          <w:b w:val="0"/>
          <w:sz w:val="22"/>
        </w:rPr>
        <w:t>示例方案、生成方案和导出草稿成功后重新读取余额。刷新失败不撤销已完成的方案或下载。未做浏览器截图，未调用真实模型。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