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b/>
          <w:sz w:val="36"/>
        </w:rPr>
        <w:t>亚马逊广告优化平台白皮书</w:t>
      </w:r>
    </w:p>
    <w:p/>
    <w:p>
      <w:r>
        <w:rPr>
          <w:rFonts w:ascii="Microsoft YaHei" w:hAnsi="Microsoft YaHei" w:eastAsia="Microsoft YaHei"/>
          <w:b w:val="0"/>
          <w:sz w:val="22"/>
        </w:rPr>
        <w:t>版本：2026-11-01。状态：本地原型。分支：`iteration/yicopy-alignment`。</w:t>
      </w:r>
    </w:p>
    <w:p/>
    <w:p>
      <w:r>
        <w:rPr>
          <w:rFonts w:ascii="Microsoft YaHei" w:hAnsi="Microsoft YaHei" w:eastAsia="Microsoft YaHei"/>
          <w:b/>
          <w:sz w:val="28"/>
        </w:rPr>
        <w:t>1. 产品是什么</w:t>
      </w:r>
    </w:p>
    <w:p/>
    <w:p>
      <w:r>
        <w:rPr>
          <w:rFonts w:ascii="Microsoft YaHei" w:hAnsi="Microsoft YaHei" w:eastAsia="Microsoft YaHei"/>
          <w:b w:val="0"/>
          <w:sz w:val="22"/>
        </w:rPr>
        <w:t>这是一个面向亚马逊商品推广广告运营的本地平台。用户登录后先看仪表盘，再进入广告工作台，对搜索词报告做规则分析、人工审核、草稿导出、执行登记和周期复盘。积分用于限制平台服务调用。它不登录亚马逊，也不自动修改广告后台。</w:t>
      </w:r>
    </w:p>
    <w:p/>
    <w:p>
      <w:r>
        <w:rPr>
          <w:rFonts w:ascii="Microsoft YaHei" w:hAnsi="Microsoft YaHei" w:eastAsia="Microsoft YaHei"/>
          <w:b/>
          <w:sz w:val="28"/>
        </w:rPr>
        <w:t>2. 平台路径</w:t>
      </w:r>
    </w:p>
    <w:p/>
    <w:p>
      <w:r>
        <w:rPr>
          <w:rFonts w:ascii="Microsoft YaHei" w:hAnsi="Microsoft YaHei" w:eastAsia="Microsoft YaHei"/>
          <w:b w:val="0"/>
          <w:sz w:val="22"/>
        </w:rPr>
        <w:t>1. 注册或登录。</w:t>
      </w:r>
    </w:p>
    <w:p>
      <w:r>
        <w:rPr>
          <w:rFonts w:ascii="Microsoft YaHei" w:hAnsi="Microsoft YaHei" w:eastAsia="Microsoft YaHei"/>
          <w:b w:val="0"/>
          <w:sz w:val="22"/>
        </w:rPr>
        <w:t>2. 进入仪表盘，查看账号类型、积分和最近方案。点击方案会打开对应的广告工作台记录，链接只接受安全的方案编号。</w:t>
      </w:r>
    </w:p>
    <w:p>
      <w:r>
        <w:rPr>
          <w:rFonts w:ascii="Microsoft YaHei" w:hAnsi="Microsoft YaHei" w:eastAsia="Microsoft YaHei"/>
          <w:b w:val="0"/>
          <w:sz w:val="22"/>
        </w:rPr>
        <w:t>3. 进入广告工作台，完成报表到草稿的闭环。</w:t>
      </w:r>
    </w:p>
    <w:p>
      <w:r>
        <w:rPr>
          <w:rFonts w:ascii="Microsoft YaHei" w:hAnsi="Microsoft YaHei" w:eastAsia="Microsoft YaHei"/>
          <w:b w:val="0"/>
          <w:sz w:val="22"/>
        </w:rPr>
        <w:t>4. 进入积分页，查看价格、流水，并按档位做演示充值。</w:t>
      </w:r>
    </w:p>
    <w:p/>
    <w:p>
      <w:r>
        <w:rPr>
          <w:rFonts w:ascii="Microsoft YaHei" w:hAnsi="Microsoft YaHei" w:eastAsia="Microsoft YaHei"/>
          <w:b/>
          <w:sz w:val="28"/>
        </w:rPr>
        <w:t>3. 广告工作台已经能做的事</w:t>
      </w:r>
    </w:p>
    <w:p/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单 ASIN、显式账户、站点和币种。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搜索词作为主花费；推广商品和广告位分开，不重复相加。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按日的广告位或推广商品行可以汇总；同一天冲突行拒绝。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动作证据来自已经发生的数据，不预测增量。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同一投放的花费只由一个主动作认领。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无广告组的词根否定只提示，不导出。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预算按活动平均分配，不按效果倾斜，也不写回后台。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导出前显示阻断原因。下载草稿不等于已经执行。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复盘比较周期合计，不按天折算，不计为已节省广告费。</w:t>
      </w:r>
    </w:p>
    <w:p/>
    <w:p>
      <w:r>
        <w:rPr>
          <w:rFonts w:ascii="Microsoft YaHei" w:hAnsi="Microsoft YaHei" w:eastAsia="Microsoft YaHei"/>
          <w:b/>
          <w:sz w:val="28"/>
        </w:rPr>
        <w:t>4. 定价原则</w:t>
      </w:r>
    </w:p>
    <w:p/>
    <w:p>
      <w:r>
        <w:rPr>
          <w:rFonts w:ascii="Microsoft YaHei" w:hAnsi="Microsoft YaHei" w:eastAsia="Microsoft YaHei"/>
          <w:b w:val="0"/>
          <w:sz w:val="22"/>
        </w:rPr>
        <w:t>参考 YICOPY 公开价格的结构，而不是把它的算力当成我们的模型 token，也不把它的收款页面当成我们的订单。</w:t>
      </w:r>
    </w:p>
    <w:p/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个人注册 1000 积分。企业开通 20000 积分。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Pro ¥9.90 / 1500 积分，Max ¥49.90 / 10000 积分，Ultra ¥3000 起 / 20000 积分并切换企业模型价。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模型调用：个人 Flash 10、其他 25；企业 Flash 6、其他 15。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生成方案 5，首次导出 2。重复下载同一草稿不扣分。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缓存命中不扣分。连接失败退分。服务商 HTTP 错误不退分。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旧工具的模型提示词带上已发生的花费、销售额、订单、点击和 ACOS。缺失的站点或 ASIN 不编造。提示词明确这些数字不是已节省金额。</w:t>
      </w:r>
    </w:p>
    <w:p/>
    <w:p>
      <w:r>
        <w:rPr>
          <w:rFonts w:ascii="Microsoft YaHei" w:hAnsi="Microsoft YaHei" w:eastAsia="Microsoft YaHei"/>
          <w:b w:val="0"/>
          <w:sz w:val="22"/>
        </w:rPr>
        <w:t>这些人民币数字是对齐公开档位的标价。当前充值接口的状态是 `demo_no_payment`，没有真实扣款。</w:t>
      </w:r>
    </w:p>
    <w:p/>
    <w:p>
      <w:r>
        <w:rPr>
          <w:rFonts w:ascii="Microsoft YaHei" w:hAnsi="Microsoft YaHei" w:eastAsia="Microsoft YaHei"/>
          <w:b/>
          <w:sz w:val="28"/>
        </w:rPr>
        <w:t>5. 技术边界</w:t>
      </w:r>
    </w:p>
    <w:p/>
    <w:p>
      <w:r>
        <w:rPr>
          <w:rFonts w:ascii="Microsoft YaHei" w:hAnsi="Microsoft YaHei" w:eastAsia="Microsoft YaHei"/>
          <w:b w:val="0"/>
          <w:sz w:val="22"/>
        </w:rPr>
        <w:t>后端是 FastAPI，数据库是 SQLite。密码只存盐和 PBKDF2 哈希。方案、用量、审核备注、积分流水和充值记录按用户隔离。模型结果缓存也按用户分开。</w:t>
      </w:r>
    </w:p>
    <w:p/>
    <w:p>
      <w:r>
        <w:rPr>
          <w:rFonts w:ascii="Microsoft YaHei" w:hAnsi="Microsoft YaHei" w:eastAsia="Microsoft YaHei"/>
          <w:b w:val="0"/>
          <w:sz w:val="22"/>
        </w:rPr>
        <w:t>部署到多人环境前，必须关闭演示充值，配置企业开通码，并接入真实支付与账单对账。在那之前，不能向用户显示“已支付”或“已节省广告费”。</w:t>
      </w:r>
    </w:p>
    <w:p/>
    <w:p>
      <w:r>
        <w:rPr>
          <w:rFonts w:ascii="Microsoft YaHei" w:hAnsi="Microsoft YaHei" w:eastAsia="Microsoft YaHei"/>
          <w:b/>
          <w:sz w:val="28"/>
        </w:rPr>
        <w:t>6. 尚未验证</w:t>
      </w:r>
    </w:p>
    <w:p/>
    <w:p>
      <w:r>
        <w:rPr>
          <w:rFonts w:ascii="Microsoft YaHei" w:hAnsi="Microsoft YaHei" w:eastAsia="Microsoft YaHei"/>
          <w:b w:val="0"/>
          <w:sz w:val="22"/>
        </w:rPr>
        <w:t>浏览器点击路径、真实模型输出、支付回调、亚马逊模板验收和广告投放效果都还没有完成。白皮书中的功能描述以代码和自动化测试为准，不构成收益承诺。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