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进入仪表盘，查看账号类型、积分和最近方案。每条方案显示可核对的历史花费，并标明它不是已节省广告费。点击方案会打开对应的广告工作台记录，链接只接受安全的方案编号。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进入广告工作台。导入前能看到各项积分，以及当前余额够不够生成方案。数字来自定价接口和当前账号，缺失时不编造。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旧工具的模型提示词带上已发生的花费、销售额、订单、点击和 ACOS。缺失的站点或 ASIN 不编造。提示词明确这些数字不是已节省金额。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