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演示充值提示</w:t>
      </w:r>
    </w:p>
    <w:p/>
    <w:p>
      <w:r>
        <w:rPr>
          <w:rFonts w:ascii="Microsoft YaHei" w:hAnsi="Microsoft YaHei" w:eastAsia="Microsoft YaHei"/>
          <w:b/>
          <w:sz w:val="36"/>
        </w:rPr>
        <w:t>演示充值提示测试边界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`demoRecharge` 为 true 时，文案必须包含“演示充值”和“不会产生真实扣款”。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 false 时，说明正式支付尚未接入，现在不能入账。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字段缺失或不是布尔值时，显示无法读取，不猜测成已开通或已关闭。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页面补充说明这不是 YICOPY 的收款页面。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支付关闭时，档位按钮显示“暂不能入账”。</w:t>
      </w:r>
    </w:p>
    <w:p/>
    <w:p>
      <w:r>
        <w:rPr>
          <w:rFonts w:ascii="Microsoft YaHei" w:hAnsi="Microsoft YaHei" w:eastAsia="Microsoft YaHei"/>
          <w:b w:val="0"/>
          <w:sz w:val="22"/>
        </w:rPr>
        <w:t>未做浏览器截图，未接入真实支付。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