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sz w:val="36"/>
        </w:rPr>
        <w:t>2026-11-01 平台原型留痕</w:t>
      </w:r>
    </w:p>
    <w:p/>
    <w:p>
      <w:r>
        <w:rPr>
          <w:rFonts w:ascii="Microsoft YaHei" w:hAnsi="Microsoft YaHei" w:eastAsia="Microsoft YaHei"/>
          <w:b/>
          <w:sz w:val="36"/>
        </w:rPr>
        <w:t>平台需求拆分</w:t>
      </w:r>
    </w:p>
    <w:p/>
    <w:p>
      <w:r>
        <w:rPr>
          <w:rFonts w:ascii="Microsoft YaHei" w:hAnsi="Microsoft YaHei" w:eastAsia="Microsoft YaHei"/>
          <w:b w:val="0"/>
          <w:sz w:val="22"/>
        </w:rPr>
        <w:t>日期：2026-11-01。范围：把已有的广告优化闭环收成可登录的平台，并给出可解释的积分与定价。</w:t>
      </w:r>
    </w:p>
    <w:p/>
    <w:p>
      <w:r>
        <w:rPr>
          <w:rFonts w:ascii="Microsoft YaHei" w:hAnsi="Microsoft YaHei" w:eastAsia="Microsoft YaHei"/>
          <w:b/>
          <w:sz w:val="28"/>
        </w:rPr>
        <w:t>拆分原则</w:t>
      </w:r>
    </w:p>
    <w:p/>
    <w:p>
      <w:r>
        <w:rPr>
          <w:rFonts w:ascii="Microsoft YaHei" w:hAnsi="Microsoft YaHei" w:eastAsia="Microsoft YaHei"/>
          <w:b w:val="0"/>
          <w:sz w:val="22"/>
        </w:rPr>
        <w:t>1. 先保证账号边界，再谈页面。没有用户隔离的仪表盘只是把数据摊开。</w:t>
      </w:r>
    </w:p>
    <w:p>
      <w:r>
        <w:rPr>
          <w:rFonts w:ascii="Microsoft YaHei" w:hAnsi="Microsoft YaHei" w:eastAsia="Microsoft YaHei"/>
          <w:b w:val="0"/>
          <w:sz w:val="22"/>
        </w:rPr>
        <w:t>2. 积分和人民币分开记账。积分是平台内的调用额度，不是广告费，也不是已节省金额。</w:t>
      </w:r>
    </w:p>
    <w:p>
      <w:r>
        <w:rPr>
          <w:rFonts w:ascii="Microsoft YaHei" w:hAnsi="Microsoft YaHei" w:eastAsia="Microsoft YaHei"/>
          <w:b w:val="0"/>
          <w:sz w:val="22"/>
        </w:rPr>
        <w:t>3. 定价只对齐 YICOPY 公开档位的结构：低价工具包、更高工具包、企业方案起价。不把对方产品说成我们的收款项目。</w:t>
      </w:r>
    </w:p>
    <w:p>
      <w:r>
        <w:rPr>
          <w:rFonts w:ascii="Microsoft YaHei" w:hAnsi="Microsoft YaHei" w:eastAsia="Microsoft YaHei"/>
          <w:b w:val="0"/>
          <w:sz w:val="22"/>
        </w:rPr>
        <w:t>4. 支付未接入前，充值必须标记为演示入账，且同一档位不能重复刷积分。</w:t>
      </w:r>
    </w:p>
    <w:p>
      <w:r>
        <w:rPr>
          <w:rFonts w:ascii="Microsoft YaHei" w:hAnsi="Microsoft YaHei" w:eastAsia="Microsoft YaHei"/>
          <w:b w:val="0"/>
          <w:sz w:val="22"/>
        </w:rPr>
        <w:t>5. 每一刀都能用测试证明：扣分、退分、隔离、拒绝条件。</w:t>
      </w:r>
    </w:p>
    <w:p/>
    <w:p>
      <w:r>
        <w:rPr>
          <w:rFonts w:ascii="Microsoft YaHei" w:hAnsi="Microsoft YaHei" w:eastAsia="Microsoft YaHei"/>
          <w:b/>
          <w:sz w:val="28"/>
        </w:rPr>
        <w:t>需求切片</w:t>
      </w:r>
    </w:p>
    <w:p/>
    <w:p>
      <w:r>
        <w:rPr>
          <w:rFonts w:ascii="Microsoft YaHei" w:hAnsi="Microsoft YaHei" w:eastAsia="Microsoft YaHei"/>
          <w:b w:val="0"/>
          <w:sz w:val="22"/>
        </w:rPr>
        <w:t>| 编号 | 用户能做什么 | 本轮是否交付 | 验收 |</w:t>
      </w:r>
    </w:p>
    <w:p>
      <w:r>
        <w:rPr>
          <w:rFonts w:ascii="Microsoft YaHei" w:hAnsi="Microsoft YaHei" w:eastAsia="Microsoft YaHei"/>
          <w:b w:val="0"/>
          <w:sz w:val="22"/>
        </w:rPr>
        <w:t>|---|---|---|---|</w:t>
      </w:r>
    </w:p>
    <w:p>
      <w:r>
        <w:rPr>
          <w:rFonts w:ascii="Microsoft YaHei" w:hAnsi="Microsoft YaHei" w:eastAsia="Microsoft YaHei"/>
          <w:b w:val="0"/>
          <w:sz w:val="22"/>
        </w:rPr>
        <w:t>| P0 登录后主页 | 登录后先看到仪表盘，而不是直接掉进报表 | 是 | 登录跳转 `/dashboard.html` |</w:t>
      </w:r>
    </w:p>
    <w:p>
      <w:r>
        <w:rPr>
          <w:rFonts w:ascii="Microsoft YaHei" w:hAnsi="Microsoft YaHei" w:eastAsia="Microsoft YaHei"/>
          <w:b w:val="0"/>
          <w:sz w:val="22"/>
        </w:rPr>
        <w:t>| P1 核心功能入口 | 从仪表盘进入广告工作台 | 是 | 工作台保留原审核、导出、复盘 |</w:t>
      </w:r>
    </w:p>
    <w:p>
      <w:r>
        <w:rPr>
          <w:rFonts w:ascii="Microsoft YaHei" w:hAnsi="Microsoft YaHei" w:eastAsia="Microsoft YaHei"/>
          <w:b w:val="0"/>
          <w:sz w:val="22"/>
        </w:rPr>
        <w:t>| P2 积分账户 | 看到余额、档位和流水 | 是 | `/api/auth/me` 返回积分与最近流水 |</w:t>
      </w:r>
    </w:p>
    <w:p>
      <w:r>
        <w:rPr>
          <w:rFonts w:ascii="Microsoft YaHei" w:hAnsi="Microsoft YaHei" w:eastAsia="Microsoft YaHei"/>
          <w:b w:val="0"/>
          <w:sz w:val="22"/>
        </w:rPr>
        <w:t>| P3 服务扣分 | 生成方案、示例、分析、首次导出、模型调用按表扣分 | 是 | 失败生成会退分；重复导出不重复扣分 |</w:t>
      </w:r>
    </w:p>
    <w:p>
      <w:r>
        <w:rPr>
          <w:rFonts w:ascii="Microsoft YaHei" w:hAnsi="Microsoft YaHei" w:eastAsia="Microsoft YaHei"/>
          <w:b w:val="0"/>
          <w:sz w:val="22"/>
        </w:rPr>
        <w:t>| P4 模型差价 | 个人与企业、Flash 与其他模型价格不同 | 是 | 定价接口和调用扣分一致 |</w:t>
      </w:r>
    </w:p>
    <w:p>
      <w:r>
        <w:rPr>
          <w:rFonts w:ascii="Microsoft YaHei" w:hAnsi="Microsoft YaHei" w:eastAsia="Microsoft YaHei"/>
          <w:b w:val="0"/>
          <w:sz w:val="22"/>
        </w:rPr>
        <w:t>| P5 充值 | 选择 Pro / Max / Ultra 演示入账 | 是 | 状态为 `demo_no_payment`，同档不可重复 |</w:t>
      </w:r>
    </w:p>
    <w:p>
      <w:r>
        <w:rPr>
          <w:rFonts w:ascii="Microsoft YaHei" w:hAnsi="Microsoft YaHei" w:eastAsia="Microsoft YaHei"/>
          <w:b w:val="0"/>
          <w:sz w:val="22"/>
        </w:rPr>
        <w:t>| P6 真实支付 | 对接支付机构并收款 | 否 | 未做，不能显示已支付 |</w:t>
      </w:r>
    </w:p>
    <w:p>
      <w:r>
        <w:rPr>
          <w:rFonts w:ascii="Microsoft YaHei" w:hAnsi="Microsoft YaHei" w:eastAsia="Microsoft YaHei"/>
          <w:b w:val="0"/>
          <w:sz w:val="22"/>
        </w:rPr>
        <w:t>| P7 广告效果 | 证明降低 ACoS 或节省广告费 | 否 | 未做投放实验 |</w:t>
      </w:r>
    </w:p>
    <w:p/>
    <w:p>
      <w:r>
        <w:rPr>
          <w:rFonts w:ascii="Microsoft YaHei" w:hAnsi="Microsoft YaHei" w:eastAsia="Microsoft YaHei"/>
          <w:b/>
          <w:sz w:val="28"/>
        </w:rPr>
        <w:t>不做的事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不复制 YICOPY 的预测模型、Listing 生成或自动投放。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不把 ¥9.90、¥49.90、¥3000 写成已经收到的款项。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不把积分消耗换算成人民币利润。</w:t>
      </w:r>
    </w:p>
    <w:p/>
    <w:p/>
    <w:p>
      <w:r>
        <w:rPr>
          <w:rFonts w:ascii="Microsoft YaHei" w:hAnsi="Microsoft YaHei" w:eastAsia="Microsoft YaHei"/>
          <w:b/>
          <w:sz w:val="36"/>
        </w:rPr>
        <w:t>本轮技术思考：平台、积分与企业模型定价</w:t>
      </w:r>
    </w:p>
    <w:p/>
    <w:p>
      <w:r>
        <w:rPr>
          <w:rFonts w:ascii="Microsoft YaHei" w:hAnsi="Microsoft YaHei" w:eastAsia="Microsoft YaHei"/>
          <w:b w:val="0"/>
          <w:sz w:val="22"/>
        </w:rPr>
        <w:t>日期：2026-11-01。</w:t>
      </w:r>
    </w:p>
    <w:p/>
    <w:p>
      <w:r>
        <w:rPr>
          <w:rFonts w:ascii="Microsoft YaHei" w:hAnsi="Microsoft YaHei" w:eastAsia="Microsoft YaHei"/>
          <w:b/>
          <w:sz w:val="28"/>
        </w:rPr>
        <w:t>问题</w:t>
      </w:r>
    </w:p>
    <w:p/>
    <w:p>
      <w:r>
        <w:rPr>
          <w:rFonts w:ascii="Microsoft YaHei" w:hAnsi="Microsoft YaHei" w:eastAsia="Microsoft YaHei"/>
          <w:b w:val="0"/>
          <w:sz w:val="22"/>
        </w:rPr>
        <w:t>上一阶段已经有登录、方案隔离和“一次模型调用扣 1 次”。这不够支撑一个平台：用户登录后缺少主页，积分不能按服务区分，也没有和企业模型价格对应的规则。若直接照搬 YICOPY 页面价格，又会把查询工具套餐和 Ultra 广告方案混成一个价。</w:t>
      </w:r>
    </w:p>
    <w:p/>
    <w:p>
      <w:r>
        <w:rPr>
          <w:rFonts w:ascii="Microsoft YaHei" w:hAnsi="Microsoft YaHei" w:eastAsia="Microsoft YaHei"/>
          <w:b/>
          <w:sz w:val="28"/>
        </w:rPr>
        <w:t>决策</w:t>
      </w:r>
    </w:p>
    <w:p/>
    <w:p>
      <w:r>
        <w:rPr>
          <w:rFonts w:ascii="Microsoft YaHei" w:hAnsi="Microsoft YaHei" w:eastAsia="Microsoft YaHei"/>
          <w:b w:val="0"/>
          <w:sz w:val="22"/>
        </w:rPr>
        <w:t>1. 登录成功进入仪表盘。仪表盘只汇总当前用户的方案数量、可导出数量和积分，明细仍进广告工作台。</w:t>
      </w:r>
    </w:p>
    <w:p>
      <w:r>
        <w:rPr>
          <w:rFonts w:ascii="Microsoft YaHei" w:hAnsi="Microsoft YaHei" w:eastAsia="Microsoft YaHei"/>
          <w:b w:val="0"/>
          <w:sz w:val="22"/>
        </w:rPr>
        <w:t>2. 沿用 SQLite 的 `ai_credits` 字段作为积分余额，避免再拆一套余额。新增 `account_plan`、`point_events`、`recharge_orders`。</w:t>
      </w:r>
    </w:p>
    <w:p>
      <w:r>
        <w:rPr>
          <w:rFonts w:ascii="Microsoft YaHei" w:hAnsi="Microsoft YaHei" w:eastAsia="Microsoft YaHei"/>
          <w:b w:val="0"/>
          <w:sz w:val="22"/>
        </w:rPr>
        <w:t>3. 扣分和退分都写流水。生成方案若在保存前失败，退回刚扣的积分。首次导出在同一数据库事务里扣分，导出失败会随事务回滚，避免两个连接互相锁死。</w:t>
      </w:r>
    </w:p>
    <w:p>
      <w:r>
        <w:rPr>
          <w:rFonts w:ascii="Microsoft YaHei" w:hAnsi="Microsoft YaHei" w:eastAsia="Microsoft YaHei"/>
          <w:b w:val="0"/>
          <w:sz w:val="22"/>
        </w:rPr>
        <w:t>4. 模型价格按账号类型和模型名计算。名称包含 `flash` 的模型用 Flash 价，其余用更高的其他模型价。缓存命中不扣分。连接失败退回本次模型积分。服务商返回 HTTP 错误不退，因为请求已经到达对方。</w:t>
      </w:r>
    </w:p>
    <w:p>
      <w:r>
        <w:rPr>
          <w:rFonts w:ascii="Microsoft YaHei" w:hAnsi="Microsoft YaHei" w:eastAsia="Microsoft YaHei"/>
          <w:b w:val="0"/>
          <w:sz w:val="22"/>
        </w:rPr>
        <w:t>5. 充值只做演示入账。每一档每个用户只能入账一次。Ultra 档会把账号切到企业模型价。页面和接口都写明没有真实支付。</w:t>
      </w:r>
    </w:p>
    <w:p/>
    <w:p>
      <w:r>
        <w:rPr>
          <w:rFonts w:ascii="Microsoft YaHei" w:hAnsi="Microsoft YaHei" w:eastAsia="Microsoft YaHei"/>
          <w:b/>
          <w:sz w:val="28"/>
        </w:rPr>
        <w:t>定价</w:t>
      </w:r>
    </w:p>
    <w:p/>
    <w:p>
      <w:r>
        <w:rPr>
          <w:rFonts w:ascii="Microsoft YaHei" w:hAnsi="Microsoft YaHei" w:eastAsia="Microsoft YaHei"/>
          <w:b w:val="0"/>
          <w:sz w:val="22"/>
        </w:rPr>
        <w:t>价格量级参考 [YICOPY 官方价格](https://yicopy.com/pricing) 在 2026-10-31 可读到的结构，不是对方的报价单，也不是我们的收款凭证。</w:t>
      </w:r>
    </w:p>
    <w:p/>
    <w:p>
      <w:r>
        <w:rPr>
          <w:rFonts w:ascii="Microsoft YaHei" w:hAnsi="Microsoft YaHei" w:eastAsia="Microsoft YaHei"/>
          <w:b w:val="0"/>
          <w:sz w:val="22"/>
        </w:rPr>
        <w:t>| 档位 | 标价 | 积分 | 对应关系 |</w:t>
      </w:r>
    </w:p>
    <w:p>
      <w:r>
        <w:rPr>
          <w:rFonts w:ascii="Microsoft YaHei" w:hAnsi="Microsoft YaHei" w:eastAsia="Microsoft YaHei"/>
          <w:b w:val="0"/>
          <w:sz w:val="22"/>
        </w:rPr>
        <w:t>|---|---:|---:|---|</w:t>
      </w:r>
    </w:p>
    <w:p>
      <w:r>
        <w:rPr>
          <w:rFonts w:ascii="Microsoft YaHei" w:hAnsi="Microsoft YaHei" w:eastAsia="Microsoft YaHei"/>
          <w:b w:val="0"/>
          <w:sz w:val="22"/>
        </w:rPr>
        <w:t>| 注册赠送 | ¥0 | 个人 1000 / 企业开通 20000 | 试用额度 |</w:t>
      </w:r>
    </w:p>
    <w:p>
      <w:r>
        <w:rPr>
          <w:rFonts w:ascii="Microsoft YaHei" w:hAnsi="Microsoft YaHei" w:eastAsia="Microsoft YaHei"/>
          <w:b w:val="0"/>
          <w:sz w:val="22"/>
        </w:rPr>
        <w:t>| Pro 积分包 | ¥9.90 | 1500 | 对齐工具 Pro 的一次到账量级 |</w:t>
      </w:r>
    </w:p>
    <w:p>
      <w:r>
        <w:rPr>
          <w:rFonts w:ascii="Microsoft YaHei" w:hAnsi="Microsoft YaHei" w:eastAsia="Microsoft YaHei"/>
          <w:b w:val="0"/>
          <w:sz w:val="22"/>
        </w:rPr>
        <w:t>| Max 积分包 | ¥49.90 | 10000 | 对齐工具 Max 的一次到账量级 |</w:t>
      </w:r>
    </w:p>
    <w:p>
      <w:r>
        <w:rPr>
          <w:rFonts w:ascii="Microsoft YaHei" w:hAnsi="Microsoft YaHei" w:eastAsia="Microsoft YaHei"/>
          <w:b w:val="0"/>
          <w:sz w:val="22"/>
        </w:rPr>
        <w:t>| Ultra 企业池 | ¥3000 起 | 20000，并切换企业模型价 | 对齐 Ultra 起价量级 |</w:t>
      </w:r>
    </w:p>
    <w:p/>
    <w:p>
      <w:r>
        <w:rPr>
          <w:rFonts w:ascii="Microsoft YaHei" w:hAnsi="Microsoft YaHei" w:eastAsia="Microsoft YaHei"/>
          <w:b w:val="0"/>
          <w:sz w:val="22"/>
        </w:rPr>
        <w:t>模型积分：个人 Flash 10、其他模型 25；企业 Flash 6、其他模型 15。生成方案 5，示例方案或旧示例分析 1，旧报告分析 5，首次导出草稿 2。</w:t>
      </w:r>
    </w:p>
    <w:p/>
    <w:p>
      <w:r>
        <w:rPr>
          <w:rFonts w:ascii="Microsoft YaHei" w:hAnsi="Microsoft YaHei" w:eastAsia="Microsoft YaHei"/>
          <w:b/>
          <w:sz w:val="28"/>
        </w:rPr>
        <w:t>风险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演示充值默认开启。部署到多人环境前必须设置 `PPC_DEMO_RECHARGE=0`，否则登录用户可以给自己加积分。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企业开通码来自环境变量 `PPC_ENTERPRISE_CODE`。未配置时，提交开通码会被拒绝。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尚未验证浏览器里的仪表盘布局，也没有真实模型调用或支付回调。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