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Architecture Document – Resource Group: rg-id001</w:t>
      </w:r>
    </w:p>
    <w:p>
      <w:r>
        <w:t>This document provides a detailed architecture overview of all resources deployed within the Azure Resource Group `rg-id001` under the subscription `cartn-production`. It includes compute, network, storage, and security components with connectivity mapping and usage purpose for each resource.</w:t>
      </w:r>
    </w:p>
    <w:p>
      <w:pPr>
        <w:pStyle w:val="Heading2"/>
      </w:pPr>
      <w:r>
        <w:t>1. Resource Summary</w:t>
      </w:r>
    </w:p>
    <w:p>
      <w:r>
        <w:t>The following table summarizes all Azure resources discovered using Azure Resource Graph Explorer: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Name</w:t>
            </w:r>
          </w:p>
        </w:tc>
      </w:tr>
      <w:tr>
        <w:tc>
          <w:tcPr>
            <w:tcW w:type="dxa" w:w="8640"/>
          </w:tcPr>
          <w:p>
            <w:r>
              <w:t>vmdbid002_OsDisk_1_9d91a8f1490345d8be5004ada471c405</w:t>
            </w:r>
          </w:p>
        </w:tc>
      </w:tr>
      <w:tr>
        <w:tc>
          <w:tcPr>
            <w:tcW w:type="dxa" w:w="8640"/>
          </w:tcPr>
          <w:p>
            <w:r>
              <w:t>cartn_image_gallery_001</w:t>
            </w:r>
          </w:p>
        </w:tc>
      </w:tr>
      <w:tr>
        <w:tc>
          <w:tcPr>
            <w:tcW w:type="dxa" w:w="8640"/>
          </w:tcPr>
          <w:p>
            <w:r>
              <w:t>vm-img-cartnb-db</w:t>
            </w:r>
          </w:p>
        </w:tc>
      </w:tr>
      <w:tr>
        <w:tc>
          <w:tcPr>
            <w:tcW w:type="dxa" w:w="8640"/>
          </w:tcPr>
          <w:p>
            <w:r>
              <w:t>1.0.0</w:t>
            </w:r>
          </w:p>
        </w:tc>
      </w:tr>
      <w:tr>
        <w:tc>
          <w:tcPr>
            <w:tcW w:type="dxa" w:w="8640"/>
          </w:tcPr>
          <w:p>
            <w:r>
              <w:t>rstre-pt-collection-id001</w:t>
            </w:r>
          </w:p>
        </w:tc>
      </w:tr>
      <w:tr>
        <w:tc>
          <w:tcPr>
            <w:tcW w:type="dxa" w:w="8640"/>
          </w:tcPr>
          <w:p>
            <w:r>
              <w:t>vmdbid002</w:t>
            </w:r>
          </w:p>
        </w:tc>
      </w:tr>
      <w:tr>
        <w:tc>
          <w:tcPr>
            <w:tcW w:type="dxa" w:w="8640"/>
          </w:tcPr>
          <w:p>
            <w:r>
              <w:t>Microsoft.Insights.VMDiagnosticsSettings</w:t>
            </w:r>
          </w:p>
        </w:tc>
      </w:tr>
      <w:tr>
        <w:tc>
          <w:tcPr>
            <w:tcW w:type="dxa" w:w="8640"/>
          </w:tcPr>
          <w:p>
            <w:r>
              <w:t>AADLoginForWindows</w:t>
            </w:r>
          </w:p>
        </w:tc>
      </w:tr>
      <w:tr>
        <w:tc>
          <w:tcPr>
            <w:tcW w:type="dxa" w:w="8640"/>
          </w:tcPr>
          <w:p>
            <w:r>
              <w:t>MDE.Windows</w:t>
            </w:r>
          </w:p>
        </w:tc>
      </w:tr>
      <w:tr>
        <w:tc>
          <w:tcPr>
            <w:tcW w:type="dxa" w:w="8640"/>
          </w:tcPr>
          <w:p>
            <w:r>
              <w:t>AzurePolicyforWindows</w:t>
            </w:r>
          </w:p>
        </w:tc>
      </w:tr>
      <w:tr>
        <w:tc>
          <w:tcPr>
            <w:tcW w:type="dxa" w:w="8640"/>
          </w:tcPr>
          <w:p>
            <w:r>
              <w:t>AzureMonitorWindowsAgent</w:t>
            </w:r>
          </w:p>
        </w:tc>
      </w:tr>
      <w:tr>
        <w:tc>
          <w:tcPr>
            <w:tcW w:type="dxa" w:w="8640"/>
          </w:tcPr>
          <w:p>
            <w:r>
              <w:t>stgid001s030-88c819ad-9e44-458a-894a-5d643c451c21</w:t>
            </w:r>
          </w:p>
        </w:tc>
      </w:tr>
      <w:tr>
        <w:tc>
          <w:tcPr>
            <w:tcW w:type="dxa" w:w="8640"/>
          </w:tcPr>
          <w:p>
            <w:r>
              <w:t>Application Insights Smart Detection</w:t>
            </w:r>
          </w:p>
        </w:tc>
      </w:tr>
      <w:tr>
        <w:tc>
          <w:tcPr>
            <w:tcW w:type="dxa" w:w="8640"/>
          </w:tcPr>
          <w:p>
            <w:r>
              <w:t>RecommendedAlertRules-AG-1</w:t>
            </w:r>
          </w:p>
        </w:tc>
      </w:tr>
      <w:tr>
        <w:tc>
          <w:tcPr>
            <w:tcW w:type="dxa" w:w="8640"/>
          </w:tcPr>
          <w:p>
            <w:r>
              <w:t>ai-id001-s130</w:t>
            </w:r>
          </w:p>
        </w:tc>
      </w:tr>
      <w:tr>
        <w:tc>
          <w:tcPr>
            <w:tcW w:type="dxa" w:w="8640"/>
          </w:tcPr>
          <w:p>
            <w:r>
              <w:t>dce-id001-s140</w:t>
            </w:r>
          </w:p>
        </w:tc>
      </w:tr>
      <w:tr>
        <w:tc>
          <w:tcPr>
            <w:tcW w:type="dxa" w:w="8640"/>
          </w:tcPr>
          <w:p>
            <w:r>
              <w:t>MSVMOtel-eastus-vmdbid002</w:t>
            </w:r>
          </w:p>
        </w:tc>
      </w:tr>
      <w:tr>
        <w:tc>
          <w:tcPr>
            <w:tcW w:type="dxa" w:w="8640"/>
          </w:tcPr>
          <w:p>
            <w:r>
              <w:t>MSVMI-eastus2-vmdbid002</w:t>
            </w:r>
          </w:p>
        </w:tc>
      </w:tr>
      <w:tr>
        <w:tc>
          <w:tcPr>
            <w:tcW w:type="dxa" w:w="8640"/>
          </w:tcPr>
          <w:p>
            <w:r>
              <w:t>ct-dcr359165732</w:t>
            </w:r>
          </w:p>
        </w:tc>
      </w:tr>
      <w:tr>
        <w:tc>
          <w:tcPr>
            <w:tcW w:type="dxa" w:w="8640"/>
          </w:tcPr>
          <w:p>
            <w:r>
              <w:t>VM Availability - vm-db-id001-s090</w:t>
            </w:r>
          </w:p>
        </w:tc>
      </w:tr>
      <w:tr>
        <w:tc>
          <w:tcPr>
            <w:tcW w:type="dxa" w:w="8640"/>
          </w:tcPr>
          <w:p>
            <w:r>
              <w:t>Network Out Total - vm-db-id001-s090</w:t>
            </w:r>
          </w:p>
        </w:tc>
      </w:tr>
      <w:tr>
        <w:tc>
          <w:tcPr>
            <w:tcW w:type="dxa" w:w="8640"/>
          </w:tcPr>
          <w:p>
            <w:r>
              <w:t>Data Disk IOPS Consumed Percentage - vm-db-id001-s090</w:t>
            </w:r>
          </w:p>
        </w:tc>
      </w:tr>
      <w:tr>
        <w:tc>
          <w:tcPr>
            <w:tcW w:type="dxa" w:w="8640"/>
          </w:tcPr>
          <w:p>
            <w:r>
              <w:t>OS Disk IOPS Consumed Percentage - vm-db-id001-s090</w:t>
            </w:r>
          </w:p>
        </w:tc>
      </w:tr>
      <w:tr>
        <w:tc>
          <w:tcPr>
            <w:tcW w:type="dxa" w:w="8640"/>
          </w:tcPr>
          <w:p>
            <w:r>
              <w:t>Available Memory Bytes - vm-db-id001-s090</w:t>
            </w:r>
          </w:p>
        </w:tc>
      </w:tr>
      <w:tr>
        <w:tc>
          <w:tcPr>
            <w:tcW w:type="dxa" w:w="8640"/>
          </w:tcPr>
          <w:p>
            <w:r>
              <w:t>Network In Total - vm-db-id001-s090</w:t>
            </w:r>
          </w:p>
        </w:tc>
      </w:tr>
      <w:tr>
        <w:tc>
          <w:tcPr>
            <w:tcW w:type="dxa" w:w="8640"/>
          </w:tcPr>
          <w:p>
            <w:r>
              <w:t>Percentage CPU - vm-db-id001-s090</w:t>
            </w:r>
          </w:p>
        </w:tc>
      </w:tr>
      <w:tr>
        <w:tc>
          <w:tcPr>
            <w:tcW w:type="dxa" w:w="8640"/>
          </w:tcPr>
          <w:p>
            <w:r>
              <w:t>kv-id001-s160-001</w:t>
            </w:r>
          </w:p>
        </w:tc>
      </w:tr>
      <w:tr>
        <w:tc>
          <w:tcPr>
            <w:tcW w:type="dxa" w:w="8640"/>
          </w:tcPr>
          <w:p>
            <w:r>
              <w:t>mw-rule-id001-s160</w:t>
            </w:r>
          </w:p>
        </w:tc>
      </w:tr>
      <w:tr>
        <w:tc>
          <w:tcPr>
            <w:tcW w:type="dxa" w:w="8640"/>
          </w:tcPr>
          <w:p>
            <w:r>
              <w:t>vnet-fw-id001-s004</w:t>
            </w:r>
          </w:p>
        </w:tc>
      </w:tr>
      <w:tr>
        <w:tc>
          <w:tcPr>
            <w:tcW w:type="dxa" w:w="8640"/>
          </w:tcPr>
          <w:p>
            <w:r>
              <w:t>vnet-hst-bastion-id001-s002</w:t>
            </w:r>
          </w:p>
        </w:tc>
      </w:tr>
      <w:tr>
        <w:tc>
          <w:tcPr>
            <w:tcW w:type="dxa" w:w="8640"/>
          </w:tcPr>
          <w:p>
            <w:r>
              <w:t>vnet-ddosp-id001-s015</w:t>
            </w:r>
          </w:p>
        </w:tc>
      </w:tr>
      <w:tr>
        <w:tc>
          <w:tcPr>
            <w:tcW w:type="dxa" w:w="8640"/>
          </w:tcPr>
          <w:p>
            <w:r>
              <w:t>vnet-fw-policy-id001-s005</w:t>
            </w:r>
          </w:p>
        </w:tc>
      </w:tr>
      <w:tr>
        <w:tc>
          <w:tcPr>
            <w:tcW w:type="dxa" w:w="8640"/>
          </w:tcPr>
          <w:p>
            <w:r>
              <w:t>vmdbid002647_z1</w:t>
            </w:r>
          </w:p>
        </w:tc>
      </w:tr>
      <w:tr>
        <w:tc>
          <w:tcPr>
            <w:tcW w:type="dxa" w:w="8640"/>
          </w:tcPr>
          <w:p>
            <w:r>
              <w:t>kv-pvt-lnk-nic-id001-s160-001</w:t>
            </w:r>
          </w:p>
        </w:tc>
      </w:tr>
      <w:tr>
        <w:tc>
          <w:tcPr>
            <w:tcW w:type="dxa" w:w="8640"/>
          </w:tcPr>
          <w:p>
            <w:r>
              <w:t>stg-pe-blob-id001-s031.nic.b565616a-fa35-4cdb-b722-9c2ec71639ae</w:t>
            </w:r>
          </w:p>
        </w:tc>
      </w:tr>
      <w:tr>
        <w:tc>
          <w:tcPr>
            <w:tcW w:type="dxa" w:w="8640"/>
          </w:tcPr>
          <w:p>
            <w:r>
              <w:t>vmdbid002-nsg</w:t>
            </w:r>
          </w:p>
        </w:tc>
      </w:tr>
      <w:tr>
        <w:tc>
          <w:tcPr>
            <w:tcW w:type="dxa" w:w="8640"/>
          </w:tcPr>
          <w:p>
            <w:r>
              <w:t>snet-sg-qpui-id001-s007</w:t>
            </w:r>
          </w:p>
        </w:tc>
      </w:tr>
      <w:tr>
        <w:tc>
          <w:tcPr>
            <w:tcW w:type="dxa" w:w="8640"/>
          </w:tcPr>
          <w:p>
            <w:r>
              <w:t>privatelink.vaultcore.azure.net</w:t>
            </w:r>
          </w:p>
        </w:tc>
      </w:tr>
      <w:tr>
        <w:tc>
          <w:tcPr>
            <w:tcW w:type="dxa" w:w="8640"/>
          </w:tcPr>
          <w:p>
            <w:r>
              <w:t>ipxg6cuzfkxps</w:t>
            </w:r>
          </w:p>
        </w:tc>
      </w:tr>
      <w:tr>
        <w:tc>
          <w:tcPr>
            <w:tcW w:type="dxa" w:w="8640"/>
          </w:tcPr>
          <w:p>
            <w:r>
              <w:t>stg-pe-blob-id001-s031</w:t>
            </w:r>
          </w:p>
        </w:tc>
      </w:tr>
      <w:tr>
        <w:tc>
          <w:tcPr>
            <w:tcW w:type="dxa" w:w="8640"/>
          </w:tcPr>
          <w:p>
            <w:r>
              <w:t>kv-pvt-lnk-id001-s160-001</w:t>
            </w:r>
          </w:p>
        </w:tc>
      </w:tr>
      <w:tr>
        <w:tc>
          <w:tcPr>
            <w:tcW w:type="dxa" w:w="8640"/>
          </w:tcPr>
          <w:p>
            <w:r>
              <w:t>vnet-fw-pip-id001-s006</w:t>
            </w:r>
          </w:p>
        </w:tc>
      </w:tr>
      <w:tr>
        <w:tc>
          <w:tcPr>
            <w:tcW w:type="dxa" w:w="8640"/>
          </w:tcPr>
          <w:p>
            <w:r>
              <w:t>vnet-pip-bastion-id001-s003</w:t>
            </w:r>
          </w:p>
        </w:tc>
      </w:tr>
      <w:tr>
        <w:tc>
          <w:tcPr>
            <w:tcW w:type="dxa" w:w="8640"/>
          </w:tcPr>
          <w:p>
            <w:r>
              <w:t>vmdbid002-ip</w:t>
            </w:r>
          </w:p>
        </w:tc>
      </w:tr>
      <w:tr>
        <w:tc>
          <w:tcPr>
            <w:tcW w:type="dxa" w:w="8640"/>
          </w:tcPr>
          <w:p>
            <w:r>
              <w:t>vnet-id001-s001-traffic-management</w:t>
            </w:r>
          </w:p>
        </w:tc>
      </w:tr>
      <w:tr>
        <w:tc>
          <w:tcPr>
            <w:tcW w:type="dxa" w:w="8640"/>
          </w:tcPr>
          <w:p>
            <w:r>
              <w:t>vnet-id001-s001</w:t>
            </w:r>
          </w:p>
        </w:tc>
      </w:tr>
      <w:tr>
        <w:tc>
          <w:tcPr>
            <w:tcW w:type="dxa" w:w="8640"/>
          </w:tcPr>
          <w:p>
            <w:r>
              <w:t>law-id001-s110</w:t>
            </w:r>
          </w:p>
        </w:tc>
      </w:tr>
      <w:tr>
        <w:tc>
          <w:tcPr>
            <w:tcW w:type="dxa" w:w="8640"/>
          </w:tcPr>
          <w:p>
            <w:r>
              <w:t>ChangeTracking(law-id001-s110)</w:t>
            </w:r>
          </w:p>
        </w:tc>
      </w:tr>
      <w:tr>
        <w:tc>
          <w:tcPr>
            <w:tcW w:type="dxa" w:w="8640"/>
          </w:tcPr>
          <w:p>
            <w:r>
              <w:t>SecurityInsights(law-id001-s110)</w:t>
            </w:r>
          </w:p>
        </w:tc>
      </w:tr>
      <w:tr>
        <w:tc>
          <w:tcPr>
            <w:tcW w:type="dxa" w:w="8640"/>
          </w:tcPr>
          <w:p>
            <w:r>
              <w:t>67e735f5-9662-401e-b815-26ab4aadc9d7-dashboard</w:t>
            </w:r>
          </w:p>
        </w:tc>
      </w:tr>
      <w:tr>
        <w:tc>
          <w:tcPr>
            <w:tcW w:type="dxa" w:w="8640"/>
          </w:tcPr>
          <w:p>
            <w:r>
              <w:t>vm-db-rec-vlt-id001-s095</w:t>
            </w:r>
          </w:p>
        </w:tc>
      </w:tr>
      <w:tr>
        <w:tc>
          <w:tcPr>
            <w:tcW w:type="dxa" w:w="8640"/>
          </w:tcPr>
          <w:p>
            <w:r>
              <w:t>stgid001s030</w:t>
            </w:r>
          </w:p>
        </w:tc>
      </w:tr>
      <w:tr>
        <w:tc>
          <w:tcPr>
            <w:tcW w:type="dxa" w:w="8640"/>
          </w:tcPr>
          <w:p>
            <w:r>
              <w:t>wa-pp-api-id001-s071</w:t>
            </w:r>
          </w:p>
        </w:tc>
      </w:tr>
      <w:tr>
        <w:tc>
          <w:tcPr>
            <w:tcW w:type="dxa" w:w="8640"/>
          </w:tcPr>
          <w:p>
            <w:r>
              <w:t>wa-pp-qpapi-id001-s061</w:t>
            </w:r>
          </w:p>
        </w:tc>
      </w:tr>
      <w:tr>
        <w:tc>
          <w:tcPr>
            <w:tcW w:type="dxa" w:w="8640"/>
          </w:tcPr>
          <w:p>
            <w:r>
              <w:t>wa-ingsvc-api-id001-s081</w:t>
            </w:r>
          </w:p>
        </w:tc>
      </w:tr>
      <w:tr>
        <w:tc>
          <w:tcPr>
            <w:tcW w:type="dxa" w:w="8640"/>
          </w:tcPr>
          <w:p>
            <w:r>
              <w:t>wa-qpapi-id001-s060</w:t>
            </w:r>
          </w:p>
        </w:tc>
      </w:tr>
      <w:tr>
        <w:tc>
          <w:tcPr>
            <w:tcW w:type="dxa" w:w="8640"/>
          </w:tcPr>
          <w:p>
            <w:r>
              <w:t>wa-api-id001-s070</w:t>
            </w:r>
          </w:p>
        </w:tc>
      </w:tr>
      <w:tr>
        <w:tc>
          <w:tcPr>
            <w:tcW w:type="dxa" w:w="8640"/>
          </w:tcPr>
          <w:p>
            <w:r>
              <w:t>wa-ingsvc-id001-s080</w:t>
            </w:r>
          </w:p>
        </w:tc>
      </w:tr>
      <w:tr>
        <w:tc>
          <w:tcPr>
            <w:tcW w:type="dxa" w:w="8640"/>
          </w:tcPr>
          <w:p>
            <w:r>
              <w:t>swa-qpui-id001-s050</w:t>
            </w:r>
          </w:p>
        </w:tc>
      </w:tr>
    </w:tbl>
    <w:p>
      <w:pPr>
        <w:pStyle w:val="Heading2"/>
      </w:pPr>
      <w:r>
        <w:t>2. Architecture Breakdown by Resource Type</w:t>
      </w:r>
    </w:p>
    <w:p>
      <w:pPr>
        <w:pStyle w:val="Heading2"/>
      </w:pPr>
      <w:r>
        <w:t>3. Networking and Connectivity</w:t>
      </w:r>
    </w:p>
    <w:p>
      <w:r>
        <w:t>This section covers the interconnection of virtual networks, subnets, and public/private endpoints. Resources such as VNets, Network Security Groups, Load Balancers, and Firewalls define the data flow and security posture within the environment.</w:t>
      </w:r>
    </w:p>
    <w:p>
      <w:pPr>
        <w:pStyle w:val="Heading2"/>
      </w:pPr>
      <w:r>
        <w:t>4. Compute and Storage Components</w:t>
      </w:r>
    </w:p>
    <w:p>
      <w:r>
        <w:t>Compute resources (Virtual Machines, App Services, Scale Sets) and Storage Accounts provide the core infrastructure. Their configurations define performance, redundancy, and scalability.</w:t>
      </w:r>
    </w:p>
    <w:p>
      <w:pPr>
        <w:pStyle w:val="Heading2"/>
      </w:pPr>
      <w:r>
        <w:t>5. Security and Access Control</w:t>
      </w:r>
    </w:p>
    <w:p>
      <w:r>
        <w:t>Security resources such as Key Vaults, Policies, and Role Assignments enforce compliance and data protection. Network Security Groups and Azure Firewall ensure segmentation and limited exposure.</w:t>
      </w:r>
    </w:p>
    <w:p>
      <w:pPr>
        <w:pStyle w:val="Heading2"/>
      </w:pPr>
      <w:r>
        <w:t>6. Recommendations</w:t>
      </w:r>
    </w:p>
    <w:p>
      <w:r>
        <w:t>Based on the current configuration, it is recommended to:</w:t>
        <w:br/>
        <w:t>• Implement Azure Policy for consistent tagging and compliance.</w:t>
        <w:br/>
        <w:t>• Review NSG and firewall rules to ensure least-privilege access.</w:t>
        <w:br/>
        <w:t>• Enable diagnostic logs and alerts across compute and networking resources.</w:t>
        <w:br/>
        <w:t>• Regularly audit identities and managed identities for RBAC hygiene.</w:t>
        <w:br/>
        <w:t>• Enable backup and redundancy features for all critical workloads.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