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5E3E"/>
          <w:sz w:val="64"/>
          <w:szCs w:val="64"/>
        </w:rPr>
        <w:t xml:space="preserve">YEGA PROJECT</w:t>
      </w:r>
    </w:p>
    <w:p>
      <w:pPr>
        <w:spacing w:before="200"/>
        <w:jc w:val="center"/>
      </w:pPr>
      <w:r>
        <w:rPr>
          <w:b/>
          <w:bCs/>
          <w:color w:val="B8944A"/>
          <w:sz w:val="36"/>
          <w:szCs w:val="36"/>
        </w:rPr>
        <w:t xml:space="preserve">Cahier des charges fonctionnel</w:t>
      </w:r>
    </w:p>
    <w:p>
      <w:pPr>
        <w:spacing w:before="100"/>
        <w:jc w:val="center"/>
      </w:pPr>
      <w:r>
        <w:rPr>
          <w:i/>
          <w:iCs/>
          <w:color w:val="3A3A3A"/>
          <w:sz w:val="24"/>
          <w:szCs w:val="24"/>
        </w:rPr>
        <w:t xml:space="preserve">Plateforme numérique YEGA — Espace client, back-office et mission terrain</w:t>
      </w:r>
    </w:p>
    <w:p>
      <w:pPr>
        <w:spacing w:before="800"/>
        <w:jc w:val="center"/>
      </w:pPr>
      <w:r>
        <w:rPr>
          <w:color w:val="3A3A3A"/>
          <w:sz w:val="22"/>
          <w:szCs w:val="22"/>
        </w:rPr>
        <w:t xml:space="preserve">Version 2.0 — Document de synthèse</w:t>
      </w:r>
    </w:p>
    <w:p>
      <w:pPr>
        <w:spacing w:before="100"/>
        <w:jc w:val="center"/>
      </w:pPr>
      <w:r>
        <w:rPr>
          <w:color w:val="3A3A3A"/>
          <w:sz w:val="20"/>
          <w:szCs w:val="20"/>
        </w:rPr>
        <w:t xml:space="preserve">Fusion du cahier des charges "Espace client &amp; back-office" et du cahier des charges fonctionnel v1.0</w:t>
      </w:r>
    </w:p>
    <w:p>
      <w:pPr>
        <w:spacing w:before="100"/>
        <w:jc w:val="center"/>
      </w:pPr>
      <w:r>
        <w:rPr>
          <w:color w:val="3A3A3A"/>
          <w:sz w:val="20"/>
          <w:szCs w:val="20"/>
        </w:rPr>
        <w:t xml:space="preserve">Août 2026</w:t>
      </w:r>
    </w:p>
    <w:p>
      <w:r>
        <w:br w:type="page"/>
      </w:r>
    </w:p>
    <w:p>
      <w:pPr>
        <w:pStyle w:val="Heading1"/>
        <w:pBdr>
          <w:bottom w:val="single" w:color="B8944A" w:sz="6" w:space="4"/>
        </w:pBdr>
        <w:spacing w:after="200" w:before="400"/>
      </w:pPr>
      <w:r>
        <w:rPr>
          <w:b/>
          <w:bCs/>
          <w:color w:val="1F5E3E"/>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B8944A" w:sz="6" w:space="4"/>
        </w:pBdr>
        <w:spacing w:after="200" w:before="400"/>
      </w:pPr>
      <w:r>
        <w:rPr>
          <w:b/>
          <w:bCs/>
          <w:color w:val="1F5E3E"/>
        </w:rPr>
        <w:t xml:space="preserve">Note méthodologique</w:t>
      </w:r>
    </w:p>
    <w:p>
      <w:pPr>
        <w:spacing w:after="120"/>
      </w:pPr>
      <w:r>
        <w:t xml:space="preserve">Ce document fusionne les deux cahiers des charges rédigés pour la plateforme YEGA : le premier, pragmatique et centré sur une v1 réalisable rapidement (phase 2 du site vitrine yega-cm.netlify.app) ; le second, une vision complète et ambitieuse à long terme (20 modules, plusieurs profils, IA, applications mobiles). Les deux ne se contredisent pas — ils décrivent la même destination à des horizons différents.</w:t>
      </w:r>
    </w:p>
    <w:p>
      <w:pPr>
        <w:spacing w:after="120"/>
      </w:pPr>
      <w:r>
        <w:t xml:space="preserve">Principe de synthèse retenu :</w:t>
      </w:r>
    </w:p>
    <w:p>
      <w:pPr>
        <w:pStyle w:val="ListParagraph"/>
        <w:numPr>
          <w:ilvl w:val="0"/>
          <w:numId w:val="1"/>
        </w:numPr>
        <w:spacing w:after="60"/>
      </w:pPr>
      <w:r>
        <w:t xml:space="preserve">La vision, les rôles utilisateurs et la liste des modules du document "v1.0" sont conservés comme cadre de référence complet, car ils couvrent le mieux l'ambition finale de YEGA.</w:t>
      </w:r>
    </w:p>
    <w:p>
      <w:pPr>
        <w:pStyle w:val="ListParagraph"/>
        <w:numPr>
          <w:ilvl w:val="0"/>
          <w:numId w:val="1"/>
        </w:numPr>
        <w:spacing w:after="60"/>
      </w:pPr>
      <w:r>
        <w:t xml:space="preserve">Le phasage, le modèle de données de départ, le choix technique v1 (Next.js + Supabase) et l'approche paiement (un seul agrégateur camerounais plutôt que plusieurs intégrations séparées) proviennent du document "Espace client &amp; back-office", car ils rendent le projet réalisable étape par étape sans sur-ingénierie prématurée.</w:t>
      </w:r>
    </w:p>
    <w:p>
      <w:pPr>
        <w:pStyle w:val="ListParagraph"/>
        <w:numPr>
          <w:ilvl w:val="0"/>
          <w:numId w:val="1"/>
        </w:numPr>
        <w:spacing w:after="60"/>
      </w:pPr>
      <w:r>
        <w:t xml:space="preserve">Les redondances entre les deux documents (paiements, sécurité, suivi de mission) ont été fusionnées en une seule version consolidée.</w:t>
      </w:r>
    </w:p>
    <w:p>
      <w:pPr>
        <w:pBdr>
          <w:left w:val="single" w:color="B8944A" w:sz="16" w:space="8"/>
        </w:pBdr>
        <w:shd w:fill="F4EFE2" w:val="clear"/>
        <w:spacing w:after="160" w:before="100"/>
        <w:ind w:left="200"/>
      </w:pPr>
      <w:r>
        <w:rPr>
          <w:i/>
          <w:iCs/>
          <w:color w:val="3A3A3A"/>
        </w:rPr>
        <w:t xml:space="preserve">Ne pas tout construire en une fois. Chaque phase doit être fonctionnelle et testée en conditions réelles avant de passer à la suivante — c'est la règle qui doit gouverner l'exécution de ce cahier des charges avec Claude Code.</w:t>
      </w:r>
    </w:p>
    <w:p>
      <w:pPr>
        <w:pStyle w:val="Heading1"/>
        <w:pBdr>
          <w:bottom w:val="single" w:color="B8944A" w:sz="6" w:space="4"/>
        </w:pBdr>
        <w:spacing w:after="200" w:before="400"/>
      </w:pPr>
      <w:r>
        <w:rPr>
          <w:b/>
          <w:bCs/>
          <w:color w:val="1F5E3E"/>
        </w:rPr>
        <w:t xml:space="preserve">1. Présentation du projet</w:t>
      </w:r>
    </w:p>
    <w:p>
      <w:pPr>
        <w:pStyle w:val="Heading2"/>
        <w:spacing w:after="140" w:before="280"/>
      </w:pPr>
      <w:r>
        <w:rPr>
          <w:b/>
          <w:bCs/>
          <w:color w:val="1F5E3E"/>
        </w:rPr>
        <w:t xml:space="preserve">1.1 Contexte</w:t>
      </w:r>
    </w:p>
    <w:p>
      <w:pPr>
        <w:spacing w:after="120"/>
      </w:pPr>
      <w:r>
        <w:t xml:space="preserve">YEGA PROJECT est une entreprise camerounaise spécialisée dans l'accompagnement de la diaspora dans la réalisation de leurs projets au Cameroun (immobilier, démarches administratives, événements — familles Home / Project / Moments).</w:t>
      </w:r>
    </w:p>
    <w:p>
      <w:pPr>
        <w:spacing w:after="120"/>
      </w:pPr>
      <w:r>
        <w:t xml:space="preserve">Le site vitrine YEGA (yega-cm.netlify.app) est en ligne et présente l'entreprise, ses services et son parcours en 7 étapes. La plateforme numérique décrite dans ce document est la phase 2 prévue dès le départ : un véritable espace applicatif avec comptes utilisateurs, base de données, stockage documentaire et paiements, distinct du site statique actuel. Elle doit devenir le point central entre les clients de la diaspora, les chargés de mission YEGA, les partenaires et l'administration de l'entreprise.</w:t>
      </w:r>
    </w:p>
    <w:p>
      <w:pPr>
        <w:pStyle w:val="Heading2"/>
        <w:spacing w:after="140" w:before="280"/>
      </w:pPr>
      <w:r>
        <w:rPr>
          <w:b/>
          <w:bCs/>
          <w:color w:val="1F5E3E"/>
        </w:rPr>
        <w:t xml:space="preserve">1.2 Vision</w:t>
      </w:r>
    </w:p>
    <w:p>
      <w:pPr>
        <w:spacing w:after="120"/>
      </w:pPr>
      <w:r>
        <w:t xml:space="preserve">Permettre à toute personne vivant à l'étranger de piloter ses projets au Cameroun comme si elle était sur place : déposer un projet, suivre son avancement en temps réel, échanger avec l'équipe YEGA, stocker ses documents en sécurité, payer ses prestations, consulter ses rapports — en autonomie complète, à n'importe quelle heure et depuis n'importe où.</w:t>
      </w:r>
    </w:p>
    <w:p>
      <w:pPr>
        <w:spacing w:after="120"/>
      </w:pPr>
      <w:r>
        <w:t xml:space="preserve">Côté YEGA, la plateforme doit permettre à l'équipe de piloter l'ensemble de ses missions actives depuis un back-office centralisé : assignation, suivi terrain, rapports, facturation, relances et pilotage stratégique.</w:t>
      </w:r>
    </w:p>
    <w:p>
      <w:pPr>
        <w:pBdr>
          <w:left w:val="single" w:color="B8944A" w:sz="16" w:space="8"/>
        </w:pBdr>
        <w:shd w:fill="F4EFE2" w:val="clear"/>
        <w:spacing w:after="160" w:before="100"/>
        <w:ind w:left="200"/>
      </w:pPr>
      <w:r>
        <w:rPr>
          <w:i/>
          <w:iCs/>
          <w:color w:val="3A3A3A"/>
        </w:rPr>
        <w:t xml:space="preserve">« Même à des milliers de kilomètres, je garde le contrôle de mon projet au Cameroun grâce à YEGA. » — c'est la promesse que chaque écran de la plateforme doit tenir.</w:t>
      </w:r>
    </w:p>
    <w:p>
      <w:pPr>
        <w:pStyle w:val="Heading2"/>
        <w:spacing w:after="140" w:before="280"/>
      </w:pPr>
      <w:r>
        <w:rPr>
          <w:b/>
          <w:bCs/>
          <w:color w:val="1F5E3E"/>
        </w:rPr>
        <w:t xml:space="preserve">1.3 Objectifs</w:t>
      </w:r>
    </w:p>
    <w:p>
      <w:pPr>
        <w:pStyle w:val="ListParagraph"/>
        <w:numPr>
          <w:ilvl w:val="0"/>
          <w:numId w:val="1"/>
        </w:numPr>
        <w:spacing w:after="60"/>
      </w:pPr>
      <w:r>
        <w:t xml:space="preserve">Simplifier les démarches des clients de la diaspora.</w:t>
      </w:r>
    </w:p>
    <w:p>
      <w:pPr>
        <w:pStyle w:val="ListParagraph"/>
        <w:numPr>
          <w:ilvl w:val="0"/>
          <w:numId w:val="1"/>
        </w:numPr>
        <w:spacing w:after="60"/>
      </w:pPr>
      <w:r>
        <w:t xml:space="preserve">Centraliser toutes les informations d'un projet en un seul endroit.</w:t>
      </w:r>
    </w:p>
    <w:p>
      <w:pPr>
        <w:pStyle w:val="ListParagraph"/>
        <w:numPr>
          <w:ilvl w:val="0"/>
          <w:numId w:val="1"/>
        </w:numPr>
        <w:spacing w:after="60"/>
      </w:pPr>
      <w:r>
        <w:t xml:space="preserve">Améliorer la communication entre client, chargé de mission et siège.</w:t>
      </w:r>
    </w:p>
    <w:p>
      <w:pPr>
        <w:pStyle w:val="ListParagraph"/>
        <w:numPr>
          <w:ilvl w:val="0"/>
          <w:numId w:val="1"/>
        </w:numPr>
        <w:spacing w:after="60"/>
      </w:pPr>
      <w:r>
        <w:t xml:space="preserve">Réduire les délais de traitement et automatiser les tâches administratives répétitives.</w:t>
      </w:r>
    </w:p>
    <w:p>
      <w:pPr>
        <w:pStyle w:val="ListParagraph"/>
        <w:numPr>
          <w:ilvl w:val="0"/>
          <w:numId w:val="1"/>
        </w:numPr>
        <w:spacing w:after="60"/>
      </w:pPr>
      <w:r>
        <w:t xml:space="preserve">Renforcer la confiance par la transparence : statut visible, preuves documentées, paiements tracés.</w:t>
      </w:r>
    </w:p>
    <w:p>
      <w:pPr>
        <w:pStyle w:val="ListParagraph"/>
        <w:numPr>
          <w:ilvl w:val="0"/>
          <w:numId w:val="1"/>
        </w:numPr>
        <w:spacing w:after="60"/>
      </w:pPr>
      <w:r>
        <w:t xml:space="preserve">Améliorer la qualité et la régularité du suivi terrain.</w:t>
      </w:r>
    </w:p>
    <w:p>
      <w:pPr>
        <w:pStyle w:val="Heading1"/>
        <w:pBdr>
          <w:bottom w:val="single" w:color="B8944A" w:sz="6" w:space="4"/>
        </w:pBdr>
        <w:spacing w:after="200" w:before="400"/>
      </w:pPr>
      <w:r>
        <w:rPr>
          <w:b/>
          <w:bCs/>
          <w:color w:val="1F5E3E"/>
        </w:rPr>
        <w:t xml:space="preserve">2. Utilisateurs et rôles</w:t>
      </w:r>
    </w:p>
    <w:p>
      <w:pPr>
        <w:spacing w:after="120"/>
      </w:pPr>
      <w:r>
        <w:t xml:space="preserve">Cinq profils sont nécessaires pour couvrir l'ensemble du fonctionnement de YEGA. Les deux premiers (Client, Chargé de mission) sont prioritaires dès la phase 1 ; les rôles Responsable Technique et Direction Générale peuvent, en tout début de vie de la plateforme, être portés par le même compte Administrateur, puis se séparer quand l'équipe grandit.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gridCol w:w="1500"/>
      </w:tblGrid>
      <w:tr>
        <w:trPr>
          <w:tblHeader/>
        </w:trPr>
        <w:tc>
          <w:tcPr>
            <w:tcW w:type="dxa" w:w="2400"/>
            <w:shd w:fill="1F5E3E" w:val="clear"/>
            <w:tcMar>
              <w:top w:type="dxa" w:w="80"/>
              <w:left w:type="dxa" w:w="100"/>
              <w:bottom w:type="dxa" w:w="80"/>
              <w:right w:type="dxa" w:w="100"/>
            </w:tcMar>
            <w:vAlign w:val="center"/>
          </w:tcPr>
          <w:p>
            <w:r>
              <w:rPr>
                <w:b/>
                <w:bCs/>
                <w:color w:val="FFFFFF"/>
                <w:sz w:val="20"/>
                <w:szCs w:val="20"/>
              </w:rPr>
              <w:t xml:space="preserve">Rôle</w:t>
            </w:r>
          </w:p>
        </w:tc>
        <w:tc>
          <w:tcPr>
            <w:tcW w:type="dxa" w:w="6300"/>
            <w:shd w:fill="1F5E3E" w:val="clear"/>
            <w:tcMar>
              <w:top w:type="dxa" w:w="80"/>
              <w:left w:type="dxa" w:w="100"/>
              <w:bottom w:type="dxa" w:w="80"/>
              <w:right w:type="dxa" w:w="100"/>
            </w:tcMar>
            <w:vAlign w:val="center"/>
          </w:tcPr>
          <w:p>
            <w:r>
              <w:rPr>
                <w:b/>
                <w:bCs/>
                <w:color w:val="FFFFFF"/>
                <w:sz w:val="20"/>
                <w:szCs w:val="20"/>
              </w:rPr>
              <w:t xml:space="preserve">Description</w:t>
            </w:r>
          </w:p>
        </w:tc>
        <w:tc>
          <w:tcPr>
            <w:tcW w:type="dxa" w:w="1500"/>
            <w:shd w:fill="1F5E3E" w:val="clear"/>
            <w:tcMar>
              <w:top w:type="dxa" w:w="80"/>
              <w:left w:type="dxa" w:w="100"/>
              <w:bottom w:type="dxa" w:w="80"/>
              <w:right w:type="dxa" w:w="100"/>
            </w:tcMar>
            <w:vAlign w:val="center"/>
          </w:tcPr>
          <w:p>
            <w:r>
              <w:rPr>
                <w:b/>
                <w:bCs/>
                <w:color w:val="FFFFFF"/>
                <w:sz w:val="20"/>
                <w:szCs w:val="20"/>
              </w:rPr>
              <w:t xml:space="preserve">Priorité</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Client diaspora</w:t>
            </w:r>
          </w:p>
        </w:tc>
        <w:tc>
          <w:tcPr>
            <w:tcW w:type="dxa" w:w="6300"/>
            <w:tcMar>
              <w:top w:type="dxa" w:w="80"/>
              <w:left w:type="dxa" w:w="100"/>
              <w:bottom w:type="dxa" w:w="80"/>
              <w:right w:type="dxa" w:w="100"/>
            </w:tcMar>
            <w:vAlign w:val="center"/>
          </w:tcPr>
          <w:p>
            <w:r>
              <w:rPr>
                <w:b w:val="false"/>
                <w:bCs w:val="false"/>
                <w:color w:val="000000"/>
                <w:sz w:val="20"/>
                <w:szCs w:val="20"/>
              </w:rPr>
              <w:t xml:space="preserve">Membre de la diaspora ayant confié au moins un projet/mission à YEGA. Crée un compte, dépose un projet, consulte son suivi, communique, paie, télécharge ses documents.</w:t>
            </w:r>
          </w:p>
        </w:tc>
        <w:tc>
          <w:tcPr>
            <w:tcW w:type="dxa" w:w="1500"/>
            <w:tcMar>
              <w:top w:type="dxa" w:w="80"/>
              <w:left w:type="dxa" w:w="100"/>
              <w:bottom w:type="dxa" w:w="80"/>
              <w:right w:type="dxa" w:w="100"/>
            </w:tcMar>
            <w:vAlign w:val="center"/>
          </w:tcPr>
          <w:p>
            <w:r>
              <w:rPr>
                <w:b w:val="false"/>
                <w:bCs w:val="false"/>
                <w:color w:val="000000"/>
                <w:sz w:val="20"/>
                <w:szCs w:val="20"/>
              </w:rPr>
              <w:t xml:space="preserve">Phase 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Chargé de mission (agent YEGA)</w:t>
            </w:r>
          </w:p>
        </w:tc>
        <w:tc>
          <w:tcPr>
            <w:tcW w:type="dxa" w:w="6300"/>
            <w:tcMar>
              <w:top w:type="dxa" w:w="80"/>
              <w:left w:type="dxa" w:w="100"/>
              <w:bottom w:type="dxa" w:w="80"/>
              <w:right w:type="dxa" w:w="100"/>
            </w:tcMar>
            <w:vAlign w:val="center"/>
          </w:tcPr>
          <w:p>
            <w:r>
              <w:rPr>
                <w:b w:val="false"/>
                <w:bCs w:val="false"/>
                <w:color w:val="000000"/>
                <w:sz w:val="20"/>
                <w:szCs w:val="20"/>
              </w:rPr>
              <w:t xml:space="preserve">Membre de l'équipe terrain, assigné à des missions : reçoit son planning, complète une checklist, prend photos/vidéos, géolocalise ses interventions, rédige et envoie son rapport au siège.</w:t>
            </w:r>
          </w:p>
        </w:tc>
        <w:tc>
          <w:tcPr>
            <w:tcW w:type="dxa" w:w="1500"/>
            <w:tcMar>
              <w:top w:type="dxa" w:w="80"/>
              <w:left w:type="dxa" w:w="100"/>
              <w:bottom w:type="dxa" w:w="80"/>
              <w:right w:type="dxa" w:w="100"/>
            </w:tcMar>
            <w:vAlign w:val="center"/>
          </w:tcPr>
          <w:p>
            <w:r>
              <w:rPr>
                <w:b w:val="false"/>
                <w:bCs w:val="false"/>
                <w:color w:val="000000"/>
                <w:sz w:val="20"/>
                <w:szCs w:val="20"/>
              </w:rPr>
              <w:t xml:space="preserve">Phase 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Responsable technique</w:t>
            </w:r>
          </w:p>
        </w:tc>
        <w:tc>
          <w:tcPr>
            <w:tcW w:type="dxa" w:w="6300"/>
            <w:tcMar>
              <w:top w:type="dxa" w:w="80"/>
              <w:left w:type="dxa" w:w="100"/>
              <w:bottom w:type="dxa" w:w="80"/>
              <w:right w:type="dxa" w:w="100"/>
            </w:tcMar>
            <w:vAlign w:val="center"/>
          </w:tcPr>
          <w:p>
            <w:r>
              <w:rPr>
                <w:b w:val="false"/>
                <w:bCs w:val="false"/>
                <w:color w:val="000000"/>
                <w:sz w:val="20"/>
                <w:szCs w:val="20"/>
              </w:rPr>
              <w:t xml:space="preserve">Crée les missions, affecte les chargés de mission, contrôle et valide les rapports, suit l'ensemble des projets actifs.</w:t>
            </w:r>
          </w:p>
        </w:tc>
        <w:tc>
          <w:tcPr>
            <w:tcW w:type="dxa" w:w="1500"/>
            <w:tcMar>
              <w:top w:type="dxa" w:w="80"/>
              <w:left w:type="dxa" w:w="100"/>
              <w:bottom w:type="dxa" w:w="80"/>
              <w:right w:type="dxa" w:w="100"/>
            </w:tcMar>
            <w:vAlign w:val="center"/>
          </w:tcPr>
          <w:p>
            <w:r>
              <w:rPr>
                <w:b w:val="false"/>
                <w:bCs w:val="false"/>
                <w:color w:val="000000"/>
                <w:sz w:val="20"/>
                <w:szCs w:val="20"/>
              </w:rPr>
              <w:t xml:space="preserve">Phase 1–2</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Direction générale</w:t>
            </w:r>
          </w:p>
        </w:tc>
        <w:tc>
          <w:tcPr>
            <w:tcW w:type="dxa" w:w="6300"/>
            <w:tcMar>
              <w:top w:type="dxa" w:w="80"/>
              <w:left w:type="dxa" w:w="100"/>
              <w:bottom w:type="dxa" w:w="80"/>
              <w:right w:type="dxa" w:w="100"/>
            </w:tcMar>
            <w:vAlign w:val="center"/>
          </w:tcPr>
          <w:p>
            <w:r>
              <w:rPr>
                <w:b w:val="false"/>
                <w:bCs w:val="false"/>
                <w:color w:val="000000"/>
                <w:sz w:val="20"/>
                <w:szCs w:val="20"/>
              </w:rPr>
              <w:t xml:space="preserve">Tableau de bord stratégique : revenus, clients, projets actifs, missions réalisées, performance des équipes, délais, satisfaction.</w:t>
            </w:r>
          </w:p>
        </w:tc>
        <w:tc>
          <w:tcPr>
            <w:tcW w:type="dxa" w:w="1500"/>
            <w:tcMar>
              <w:top w:type="dxa" w:w="80"/>
              <w:left w:type="dxa" w:w="100"/>
              <w:bottom w:type="dxa" w:w="80"/>
              <w:right w:type="dxa" w:w="100"/>
            </w:tcMar>
            <w:vAlign w:val="center"/>
          </w:tcPr>
          <w:p>
            <w:r>
              <w:rPr>
                <w:b w:val="false"/>
                <w:bCs w:val="false"/>
                <w:color w:val="000000"/>
                <w:sz w:val="20"/>
                <w:szCs w:val="20"/>
              </w:rPr>
              <w:t xml:space="preserve">Phase 2–3</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Administrateur</w:t>
            </w:r>
          </w:p>
        </w:tc>
        <w:tc>
          <w:tcPr>
            <w:tcW w:type="dxa" w:w="6300"/>
            <w:tcMar>
              <w:top w:type="dxa" w:w="80"/>
              <w:left w:type="dxa" w:w="100"/>
              <w:bottom w:type="dxa" w:w="80"/>
              <w:right w:type="dxa" w:w="100"/>
            </w:tcMar>
            <w:vAlign w:val="center"/>
          </w:tcPr>
          <w:p>
            <w:r>
              <w:rPr>
                <w:b w:val="false"/>
                <w:bCs w:val="false"/>
                <w:color w:val="000000"/>
                <w:sz w:val="20"/>
                <w:szCs w:val="20"/>
              </w:rPr>
              <w:t xml:space="preserve">Gestion complète : comptes, rôles, permissions, paramètres, sauvegardes, sécurité.</w:t>
            </w:r>
          </w:p>
        </w:tc>
        <w:tc>
          <w:tcPr>
            <w:tcW w:type="dxa" w:w="1500"/>
            <w:tcMar>
              <w:top w:type="dxa" w:w="80"/>
              <w:left w:type="dxa" w:w="100"/>
              <w:bottom w:type="dxa" w:w="80"/>
              <w:right w:type="dxa" w:w="100"/>
            </w:tcMar>
            <w:vAlign w:val="center"/>
          </w:tcPr>
          <w:p>
            <w:r>
              <w:rPr>
                <w:b w:val="false"/>
                <w:bCs w:val="false"/>
                <w:color w:val="000000"/>
                <w:sz w:val="20"/>
                <w:szCs w:val="20"/>
              </w:rPr>
              <w:t xml:space="preserve">Phase 1</w:t>
            </w:r>
          </w:p>
        </w:tc>
      </w:tr>
    </w:tbl>
    <w:p>
      <w:pPr>
        <w:spacing w:after="120"/>
      </w:pPr>
      <w:r>
        <w:t xml:space="preserve"/>
      </w:r>
    </w:p>
    <w:p>
      <w:pPr>
        <w:pBdr>
          <w:left w:val="single" w:color="B8944A" w:sz="16" w:space="8"/>
        </w:pBdr>
        <w:shd w:fill="F4EFE2" w:val="clear"/>
        <w:spacing w:after="160" w:before="100"/>
        <w:ind w:left="200"/>
      </w:pPr>
      <w:r>
        <w:rPr>
          <w:i/>
          <w:iCs/>
          <w:color w:val="3A3A3A"/>
        </w:rPr>
        <w:t xml:space="preserve">Règle d'accès non négociable : un client ne doit jamais pouvoir accéder aux données d'un autre client. Un chargé de mission ne voit que les missions qui lui sont assignées, sauf s'il a également le rôle Administrateur ou Responsable technique. Ce contrôle doit être appliqué côté serveur (base de données), jamais seulement côté interface.</w:t>
      </w:r>
    </w:p>
    <w:p>
      <w:pPr>
        <w:pStyle w:val="Heading1"/>
        <w:pBdr>
          <w:bottom w:val="single" w:color="B8944A" w:sz="6" w:space="4"/>
        </w:pBdr>
        <w:spacing w:after="200" w:before="400"/>
      </w:pPr>
      <w:r>
        <w:rPr>
          <w:b/>
          <w:bCs/>
          <w:color w:val="1F5E3E"/>
        </w:rPr>
        <w:t xml:space="preserve">3. Parcours d'une mission (colonne vertébrale de la plateforme)</w:t>
      </w:r>
    </w:p>
    <w:p>
      <w:pPr>
        <w:spacing w:after="120"/>
      </w:pPr>
      <w:r>
        <w:t xml:space="preserve">Toutes les fonctionnalités (tableau de bord, rapports, paiements, messagerie) s'articulent autour d'un même parcours en 7 étapes, déjà présent sur le site vitrine et à reprendre à l'identique dans la plateforme applicative pour ne pas dérouter les clients qui la connaissent déjà :</w:t>
      </w:r>
    </w:p>
    <w:p>
      <w:pPr>
        <w:spacing w:after="200"/>
        <w:jc w:val="center"/>
      </w:pPr>
      <w:r>
        <w:rPr>
          <w:b/>
          <w:bCs/>
          <w:color w:val="1F5E3E"/>
          <w:sz w:val="22"/>
          <w:szCs w:val="22"/>
        </w:rPr>
        <w:t xml:space="preserve">Reçue  →  Analysée  →  Proposée  →  Validée  →  En exécution  →  Contrôlée  →  Clôturée</w:t>
      </w:r>
    </w:p>
    <w:p>
      <w:pPr>
        <w:spacing w:after="120"/>
      </w:pPr>
      <w:r>
        <w:t xml:space="preserve">Le module de « dépôt de projet » (assistant intelligent en 6 étapes : Identification → Choix du service → Description → Documents → Localisation → Budget → Validation) alimente la création de la première étape (« Reçue ») de ce parcours. Le formulaire « Confier une mission » déjà présent sur le site vitrine peut devenir ce point d'entrée, créant automatiquement la première mission d'un nouveau client dans la plateforme.</w:t>
      </w:r>
    </w:p>
    <w:p>
      <w:pPr>
        <w:spacing w:after="120"/>
      </w:pPr>
      <w:r>
        <w:t xml:space="preserve">Chaque visite terrain effectuée par un chargé de mission suit elle-même un cycle détaillé : date, heure, géolocalisation GPS, photos, vidéos, checklist, observations, recommandations, signature, validation par le responsable technique. C'est ce cycle qui alimente en continu la chronologie visible côté client.</w:t>
      </w:r>
    </w:p>
    <w:p>
      <w:pPr>
        <w:pStyle w:val="Heading1"/>
        <w:pBdr>
          <w:bottom w:val="single" w:color="B8944A" w:sz="6" w:space="4"/>
        </w:pBdr>
        <w:spacing w:after="200" w:before="400"/>
      </w:pPr>
      <w:r>
        <w:rPr>
          <w:b/>
          <w:bCs/>
          <w:color w:val="1F5E3E"/>
        </w:rPr>
        <w:t xml:space="preserve">4. Modules fonctionnels</w:t>
      </w:r>
    </w:p>
    <w:p>
      <w:pPr>
        <w:spacing w:after="120"/>
      </w:pPr>
      <w:r>
        <w:t xml:space="preserve">Vingt modules couvrent la plateforme dans sa version complète. Chaque module est associé à la phase de développement à laquelle il appartient (voir section 8 — Phasage). Cette numérotation sert de référence commune entre YEGA et l'équipe de développement tout au long du projet.</w:t>
      </w:r>
    </w:p>
    <w:p>
      <w:pPr>
        <w:pStyle w:val="Heading2"/>
        <w:spacing w:after="140" w:before="280"/>
      </w:pPr>
      <w:r>
        <w:rPr>
          <w:b/>
          <w:bCs/>
          <w:color w:val="1F5E3E"/>
        </w:rPr>
        <w:t xml:space="preserve">Module 1 — Site institutionnel</w:t>
      </w:r>
    </w:p>
    <w:p>
      <w:pPr>
        <w:spacing w:after="120"/>
      </w:pPr>
      <w:r>
        <w:t xml:space="preserve">Accueil, À propos, Nos services, Nos réalisations, Tarifs, Blog, FAQ, Contact. Existe déjà sous forme statique (yega-cm.netlify.app) ; à terme, ce contenu peut être géré depuis le back-office plutôt qu'en dur dans le code.</w:t>
      </w:r>
    </w:p>
    <w:p>
      <w:pPr>
        <w:pStyle w:val="Heading2"/>
        <w:spacing w:after="140" w:before="280"/>
      </w:pPr>
      <w:r>
        <w:rPr>
          <w:b/>
          <w:bCs/>
          <w:color w:val="1F5E3E"/>
        </w:rPr>
        <w:t xml:space="preserve">Module 2 — Création de compte et connexion</w:t>
      </w:r>
    </w:p>
    <w:p>
      <w:pPr>
        <w:spacing w:after="120"/>
      </w:pPr>
      <w:r>
        <w:t xml:space="preserve">Connexion e-mail + mot de passe hashé dès la phase 1. Authentification à deux facteurs par code envoyé sur WhatsApp — canal déjà central pour YEGA — recommandée en priorité par rapport aux connexions sociales (Google, Facebook, Apple, Microsoft), qui peuvent être ajoutées ultérieurement sans remettre en cause l'architecture.</w:t>
      </w:r>
    </w:p>
    <w:p>
      <w:pPr>
        <w:pStyle w:val="Heading2"/>
        <w:spacing w:after="140" w:before="280"/>
      </w:pPr>
      <w:r>
        <w:rPr>
          <w:b/>
          <w:bCs/>
          <w:color w:val="1F5E3E"/>
        </w:rPr>
        <w:t xml:space="preserve">Module 3 — Dépôt de projet (assistant intelligent)</w:t>
      </w:r>
    </w:p>
    <w:p>
      <w:pPr>
        <w:spacing w:after="120"/>
      </w:pPr>
      <w:r>
        <w:t xml:space="preserve">Parcours guidé en six étapes : Identification → Choix du service → Description → Documents → Localisation → Budget → Validation. Alimente automatiquement la création d'une mission au statut « Reçue ».</w:t>
      </w:r>
    </w:p>
    <w:p>
      <w:pPr>
        <w:pStyle w:val="Heading2"/>
        <w:spacing w:after="140" w:before="280"/>
      </w:pPr>
      <w:r>
        <w:rPr>
          <w:b/>
          <w:bCs/>
          <w:color w:val="1F5E3E"/>
        </w:rPr>
        <w:t xml:space="preserve">Module 4 — Gestion documentaire</w:t>
      </w:r>
    </w:p>
    <w:p>
      <w:pPr>
        <w:spacing w:after="120"/>
      </w:pPr>
      <w:r>
        <w:t xml:space="preserve">Téléchargement, prévisualisation, historique et classement automatique des documents liés à un projet : plans, devis, titres fonciers, passeports, CNI, vidéos, photos, PDF. Correspond aux entités Documents et Reports du modèle de données (section 6).</w:t>
      </w:r>
    </w:p>
    <w:p>
      <w:pPr>
        <w:pStyle w:val="Heading2"/>
        <w:spacing w:after="140" w:before="280"/>
      </w:pPr>
      <w:r>
        <w:rPr>
          <w:b/>
          <w:bCs/>
          <w:color w:val="1F5E3E"/>
        </w:rPr>
        <w:t xml:space="preserve">Module 5 — Tableau de bord client</w:t>
      </w:r>
    </w:p>
    <w:p>
      <w:pPr>
        <w:spacing w:after="120"/>
      </w:pPr>
      <w:r>
        <w:t xml:space="preserve">Vue consolidée : mes projets, statut, factures, messages, photos, rapports, paiements, documents, notifications. C'est l'écran d'accueil du client une fois connecté.</w:t>
      </w:r>
    </w:p>
    <w:p>
      <w:pPr>
        <w:pStyle w:val="Heading2"/>
        <w:spacing w:after="140" w:before="280"/>
      </w:pPr>
      <w:r>
        <w:rPr>
          <w:b/>
          <w:bCs/>
          <w:color w:val="1F5E3E"/>
        </w:rPr>
        <w:t xml:space="preserve">Module 6 — Suivi du projet</w:t>
      </w:r>
    </w:p>
    <w:p>
      <w:pPr>
        <w:spacing w:after="120"/>
      </w:pPr>
      <w:r>
        <w:t xml:space="preserve">Chronologie complète du parcours en 7 étapes décrit en section 3, avec détail par mission : description, ville, agent assigné, historique des changements de statut.</w:t>
      </w:r>
    </w:p>
    <w:p>
      <w:pPr>
        <w:pStyle w:val="Heading2"/>
        <w:spacing w:after="140" w:before="280"/>
      </w:pPr>
      <w:r>
        <w:rPr>
          <w:b/>
          <w:bCs/>
          <w:color w:val="1F5E3E"/>
        </w:rPr>
        <w:t xml:space="preserve">Module 7 — Rapports d'inspection</w:t>
      </w:r>
    </w:p>
    <w:p>
      <w:pPr>
        <w:spacing w:after="120"/>
      </w:pPr>
      <w:r>
        <w:t xml:space="preserve">Chaque visite terrain génère un rapport structuré : date, heure, GPS, photos, vidéos, checklist, observations, recommandations, signature et validation. Visible côté client immédiatement après validation par le responsable technique.</w:t>
      </w:r>
    </w:p>
    <w:p>
      <w:pPr>
        <w:pStyle w:val="Heading2"/>
        <w:spacing w:after="140" w:before="280"/>
      </w:pPr>
      <w:r>
        <w:rPr>
          <w:b/>
          <w:bCs/>
          <w:color w:val="1F5E3E"/>
        </w:rPr>
        <w:t xml:space="preserve">Module 8 — Galerie d'évolution</w:t>
      </w:r>
    </w:p>
    <w:p>
      <w:pPr>
        <w:spacing w:after="120"/>
      </w:pPr>
      <w:r>
        <w:t xml:space="preserve">Comparaison visuelle avant / pendant / après pour les projets de type chantier : photos HD, vidéos, et à terme prises de drone. Renforce la transparence, argument central de positionnement de YEGA.</w:t>
      </w:r>
    </w:p>
    <w:p>
      <w:pPr>
        <w:pStyle w:val="Heading2"/>
        <w:spacing w:after="140" w:before="280"/>
      </w:pPr>
      <w:r>
        <w:rPr>
          <w:b/>
          <w:bCs/>
          <w:color w:val="1F5E3E"/>
        </w:rPr>
        <w:t xml:space="preserve">Module 9 — Paiements</w:t>
      </w:r>
    </w:p>
    <w:p>
      <w:pPr>
        <w:spacing w:after="120"/>
      </w:pPr>
      <w:r>
        <w:t xml:space="preserve">Voir section 7 pour le détail. Mobile Money (MTN MoMo, Orange Money) et carte bancaire internationale (Visa/Mastercard) dès le lancement, via un agrégateur unique plutôt que des intégrations séparées. PayPal et virement bancaire peuvent être ajoutés dans un second temps pour la diaspora ne disposant pas de carte compatible.</w:t>
      </w:r>
    </w:p>
    <w:p>
      <w:pPr>
        <w:pStyle w:val="Heading2"/>
        <w:spacing w:after="140" w:before="280"/>
      </w:pPr>
      <w:r>
        <w:rPr>
          <w:b/>
          <w:bCs/>
          <w:color w:val="1F5E3E"/>
        </w:rPr>
        <w:t xml:space="preserve">Module 10 — Messagerie</w:t>
      </w:r>
    </w:p>
    <w:p>
      <w:pPr>
        <w:spacing w:after="120"/>
      </w:pPr>
      <w:r>
        <w:t xml:space="preserve">Fil de discussion par mission (pas un chat général) entre le client et l'agent assigné, avec pièces jointes et notifications. Centralisée côté back-office et filtrable par agent.</w:t>
      </w:r>
    </w:p>
    <w:p>
      <w:pPr>
        <w:pStyle w:val="Heading2"/>
        <w:spacing w:after="140" w:before="280"/>
      </w:pPr>
      <w:r>
        <w:rPr>
          <w:b/>
          <w:bCs/>
          <w:color w:val="1F5E3E"/>
        </w:rPr>
        <w:t xml:space="preserve">Module 11 — Agenda</w:t>
      </w:r>
    </w:p>
    <w:p>
      <w:pPr>
        <w:spacing w:after="120"/>
      </w:pPr>
      <w:r>
        <w:t xml:space="preserve">Planning des visites terrain, calendrier partagé, rappels et notifications pour les chargés de mission et le responsable technique.</w:t>
      </w:r>
    </w:p>
    <w:p>
      <w:pPr>
        <w:pStyle w:val="Heading2"/>
        <w:spacing w:after="140" w:before="280"/>
      </w:pPr>
      <w:r>
        <w:rPr>
          <w:b/>
          <w:bCs/>
          <w:color w:val="1F5E3E"/>
        </w:rPr>
        <w:t xml:space="preserve">Module 12 — Gestion des missions (back-office)</w:t>
      </w:r>
    </w:p>
    <w:p>
      <w:pPr>
        <w:spacing w:after="120"/>
      </w:pPr>
      <w:r>
        <w:t xml:space="preserve">Créer, modifier, affecter, reporter, annuler, clôturer une mission. Changement de statut le long du parcours en 7 étapes.</w:t>
      </w:r>
    </w:p>
    <w:p>
      <w:pPr>
        <w:pStyle w:val="Heading2"/>
        <w:spacing w:after="140" w:before="280"/>
      </w:pPr>
      <w:r>
        <w:rPr>
          <w:b/>
          <w:bCs/>
          <w:color w:val="1F5E3E"/>
        </w:rPr>
        <w:t xml:space="preserve">Module 13 — CRM</w:t>
      </w:r>
    </w:p>
    <w:p>
      <w:pPr>
        <w:spacing w:after="120"/>
      </w:pPr>
      <w:r>
        <w:t xml:space="preserve">Fiches clients et prospects : historique complet des missions et paiements, relances, contrats, facturation. Vue d'ensemble par client pour l'équipe commerciale et la direction.</w:t>
      </w:r>
    </w:p>
    <w:p>
      <w:pPr>
        <w:pStyle w:val="Heading2"/>
        <w:spacing w:after="140" w:before="280"/>
      </w:pPr>
      <w:r>
        <w:rPr>
          <w:b/>
          <w:bCs/>
          <w:color w:val="1F5E3E"/>
        </w:rPr>
        <w:t xml:space="preserve">Module 14 — Tableau de bord Direction</w:t>
      </w:r>
    </w:p>
    <w:p>
      <w:pPr>
        <w:spacing w:after="120"/>
      </w:pPr>
      <w:r>
        <w:t xml:space="preserve">Indicateurs stratégiques : nombre de clients, chiffre d'affaires, nombre de missions, projets en cours, délais, satisfaction, performance des équipes, missions en retard.</w:t>
      </w:r>
    </w:p>
    <w:p>
      <w:pPr>
        <w:pStyle w:val="Heading2"/>
        <w:spacing w:after="140" w:before="280"/>
      </w:pPr>
      <w:r>
        <w:rPr>
          <w:b/>
          <w:bCs/>
          <w:color w:val="1F5E3E"/>
        </w:rPr>
        <w:t xml:space="preserve">Module 15 — IA YEGA Assistant</w:t>
      </w:r>
    </w:p>
    <w:p>
      <w:pPr>
        <w:spacing w:after="120"/>
      </w:pPr>
      <w:r>
        <w:t xml:space="preserve">Assistant conversationnel capable de répondre à des questions simples et personnelles du client à partir de ses propres données : « Où en est mon chantier ? », « Quand aura lieu la prochaine visite ? », « Montre-moi les dernières photos », « Quel est le montant restant ? », « Quels documents manquent ? », « Mon rapport est-il disponible ? ». Module à forte valeur perçue mais à construire après que les données sous-jacentes (missions, rapports, paiements) sont fiables — sans données propres et bien structurées, un assistant IA ne fait que répéter des approximations.</w:t>
      </w:r>
    </w:p>
    <w:p>
      <w:pPr>
        <w:pStyle w:val="Heading2"/>
        <w:spacing w:after="140" w:before="280"/>
      </w:pPr>
      <w:r>
        <w:rPr>
          <w:b/>
          <w:bCs/>
          <w:color w:val="1F5E3E"/>
        </w:rPr>
        <w:t xml:space="preserve">Module 16 — Notifications</w:t>
      </w:r>
    </w:p>
    <w:p>
      <w:pPr>
        <w:spacing w:after="120"/>
      </w:pPr>
      <w:r>
        <w:t xml:space="preserve">E-mail, WhatsApp et notifications push mobile en priorité (WhatsApp étant déjà central dans la relation client YEGA) ; SMS en complément si le budget le permet.</w:t>
      </w:r>
    </w:p>
    <w:p>
      <w:pPr>
        <w:pStyle w:val="Heading2"/>
        <w:spacing w:after="140" w:before="280"/>
      </w:pPr>
      <w:r>
        <w:rPr>
          <w:b/>
          <w:bCs/>
          <w:color w:val="1F5E3E"/>
        </w:rPr>
        <w:t xml:space="preserve">Module 17 — Signature électronique</w:t>
      </w:r>
    </w:p>
    <w:p>
      <w:pPr>
        <w:spacing w:after="120"/>
      </w:pPr>
      <w:r>
        <w:t xml:space="preserve">Validation des contrats, rapports, devis et procès-verbaux directement dans la plateforme, pour éviter les allers-retours papier ou PDF signé/scanné avec des clients à l'étranger.</w:t>
      </w:r>
    </w:p>
    <w:p>
      <w:pPr>
        <w:pStyle w:val="Heading2"/>
        <w:spacing w:after="140" w:before="280"/>
      </w:pPr>
      <w:r>
        <w:rPr>
          <w:b/>
          <w:bCs/>
          <w:color w:val="1F5E3E"/>
        </w:rPr>
        <w:t xml:space="preserve">Module 18 — Gestion des partenaires</w:t>
      </w:r>
    </w:p>
    <w:p>
      <w:pPr>
        <w:spacing w:after="120"/>
      </w:pPr>
      <w:r>
        <w:t xml:space="preserve">Répertoire des architectes, ingénieurs, notaires, banques, entreprises et artisans partenaires, avec historique de collaboration et, à terme, un système de notation (voir évolutions futures).</w:t>
      </w:r>
    </w:p>
    <w:p>
      <w:pPr>
        <w:pStyle w:val="Heading2"/>
        <w:spacing w:after="140" w:before="280"/>
      </w:pPr>
      <w:r>
        <w:rPr>
          <w:b/>
          <w:bCs/>
          <w:color w:val="1F5E3E"/>
        </w:rPr>
        <w:t xml:space="preserve">Module 19 — Statistiques</w:t>
      </w:r>
    </w:p>
    <w:p>
      <w:pPr>
        <w:spacing w:after="120"/>
      </w:pPr>
      <w:r>
        <w:t xml:space="preserve">Nombre de visites, temps moyen de traitement, répartition géographique des missions, revenus, performance — alimente le tableau de bord Direction (module 14).</w:t>
      </w:r>
    </w:p>
    <w:p>
      <w:pPr>
        <w:pStyle w:val="Heading2"/>
        <w:spacing w:after="140" w:before="280"/>
      </w:pPr>
      <w:r>
        <w:rPr>
          <w:b/>
          <w:bCs/>
          <w:color w:val="1F5E3E"/>
        </w:rPr>
        <w:t xml:space="preserve">Module 20 — Centre d'aide</w:t>
      </w:r>
    </w:p>
    <w:p>
      <w:pPr>
        <w:spacing w:after="120"/>
      </w:pPr>
      <w:r>
        <w:t xml:space="preserve">FAQ, tutoriels, support, chat. Réduit la charge de support manuel une fois la base d'utilisateurs en croissance.</w:t>
      </w:r>
    </w:p>
    <w:p>
      <w:pPr>
        <w:pStyle w:val="Heading1"/>
        <w:pBdr>
          <w:bottom w:val="single" w:color="B8944A" w:sz="6" w:space="4"/>
        </w:pBdr>
        <w:spacing w:after="200" w:before="400"/>
      </w:pPr>
      <w:r>
        <w:rPr>
          <w:b/>
          <w:bCs/>
          <w:color w:val="1F5E3E"/>
        </w:rPr>
        <w:t xml:space="preserve">5. Applications</w:t>
      </w:r>
    </w:p>
    <w:p>
      <w:pPr>
        <w:spacing w:after="120"/>
      </w:pPr>
      <w:r>
        <w:t xml:space="preserve">Deux applications distinctes, cohérentes avec les profils utilisateurs :</w:t>
      </w:r>
    </w:p>
    <w:p>
      <w:pPr>
        <w:pStyle w:val="ListParagraph"/>
        <w:numPr>
          <w:ilvl w:val="0"/>
          <w:numId w:val="1"/>
        </w:numPr>
        <w:spacing w:after="60"/>
      </w:pPr>
      <w:r>
        <w:t xml:space="preserve">Plateforme web — clients, partenaires et administration (rôles Client, Responsable technique, Direction, Administrateur).</w:t>
      </w:r>
    </w:p>
    <w:p>
      <w:pPr>
        <w:pStyle w:val="ListParagraph"/>
        <w:numPr>
          <w:ilvl w:val="0"/>
          <w:numId w:val="1"/>
        </w:numPr>
        <w:spacing w:after="60"/>
      </w:pPr>
      <w:r>
        <w:t xml:space="preserve">Application mobile « YEGA Mission » (Android/iOS) — dédiée aux chargés de mission sur le terrain : checklist hors-ligne, prise de photo/vidéo, géolocalisation, envoi de rapport. Peut être développée après que le back-office web gère déjà les missions (phase 2 ou 3), en réutilisant la même base Supabase.</w:t>
      </w:r>
    </w:p>
    <w:p>
      <w:pPr>
        <w:pStyle w:val="Heading1"/>
        <w:pBdr>
          <w:bottom w:val="single" w:color="B8944A" w:sz="6" w:space="4"/>
        </w:pBdr>
        <w:spacing w:after="200" w:before="400"/>
      </w:pPr>
      <w:r>
        <w:rPr>
          <w:b/>
          <w:bCs/>
          <w:color w:val="1F5E3E"/>
        </w:rPr>
        <w:t xml:space="preserve">6. Modèle de données (base de départ)</w:t>
      </w:r>
    </w:p>
    <w:p>
      <w:pPr>
        <w:spacing w:after="120"/>
      </w:pPr>
      <w:r>
        <w:t xml:space="preserve">Structure minimale suffisante pour couvrir les phases 1 à 4. Elle est volontairement simple pour démarrer vite, et conçue pour être étendue (partenaires, CRM, statistiques) sans tout reconstruire.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1F5E3E" w:val="clear"/>
            <w:tcMar>
              <w:top w:type="dxa" w:w="80"/>
              <w:left w:type="dxa" w:w="100"/>
              <w:bottom w:type="dxa" w:w="80"/>
              <w:right w:type="dxa" w:w="100"/>
            </w:tcMar>
            <w:vAlign w:val="center"/>
          </w:tcPr>
          <w:p>
            <w:r>
              <w:rPr>
                <w:b/>
                <w:bCs/>
                <w:color w:val="FFFFFF"/>
                <w:sz w:val="20"/>
                <w:szCs w:val="20"/>
              </w:rPr>
              <w:t xml:space="preserve">Table</w:t>
            </w:r>
          </w:p>
        </w:tc>
        <w:tc>
          <w:tcPr>
            <w:tcW w:type="dxa" w:w="7700"/>
            <w:shd w:fill="1F5E3E" w:val="clear"/>
            <w:tcMar>
              <w:top w:type="dxa" w:w="80"/>
              <w:left w:type="dxa" w:w="100"/>
              <w:bottom w:type="dxa" w:w="80"/>
              <w:right w:type="dxa" w:w="100"/>
            </w:tcMar>
            <w:vAlign w:val="center"/>
          </w:tcPr>
          <w:p>
            <w:r>
              <w:rPr>
                <w:b/>
                <w:bCs/>
                <w:color w:val="FFFFFF"/>
                <w:sz w:val="20"/>
                <w:szCs w:val="20"/>
              </w:rPr>
              <w:t xml:space="preserve">Champs clés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Users</w:t>
            </w:r>
          </w:p>
        </w:tc>
        <w:tc>
          <w:tcPr>
            <w:tcW w:type="dxa" w:w="7700"/>
            <w:tcMar>
              <w:top w:type="dxa" w:w="80"/>
              <w:left w:type="dxa" w:w="100"/>
              <w:bottom w:type="dxa" w:w="80"/>
              <w:right w:type="dxa" w:w="100"/>
            </w:tcMar>
            <w:vAlign w:val="center"/>
          </w:tcPr>
          <w:p>
            <w:r>
              <w:rPr>
                <w:b w:val="false"/>
                <w:bCs w:val="false"/>
                <w:color w:val="000000"/>
                <w:sz w:val="20"/>
                <w:szCs w:val="20"/>
              </w:rPr>
              <w:t xml:space="preserve">id, role (client / agent / responsable_technique / direction / admin), nom, email, téléphone, pays, date_creation</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Missions</w:t>
            </w:r>
          </w:p>
        </w:tc>
        <w:tc>
          <w:tcPr>
            <w:tcW w:type="dxa" w:w="7700"/>
            <w:tcMar>
              <w:top w:type="dxa" w:w="80"/>
              <w:left w:type="dxa" w:w="100"/>
              <w:bottom w:type="dxa" w:w="80"/>
              <w:right w:type="dxa" w:w="100"/>
            </w:tcMar>
            <w:vAlign w:val="center"/>
          </w:tcPr>
          <w:p>
            <w:r>
              <w:rPr>
                <w:b w:val="false"/>
                <w:bCs w:val="false"/>
                <w:color w:val="000000"/>
                <w:sz w:val="20"/>
                <w:szCs w:val="20"/>
              </w:rPr>
              <w:t xml:space="preserve">id, client_id, type (Home / Project / Moments), statut (7 étapes), ville, description, agent_id, date_creation</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Reports</w:t>
            </w:r>
          </w:p>
        </w:tc>
        <w:tc>
          <w:tcPr>
            <w:tcW w:type="dxa" w:w="7700"/>
            <w:tcMar>
              <w:top w:type="dxa" w:w="80"/>
              <w:left w:type="dxa" w:w="100"/>
              <w:bottom w:type="dxa" w:w="80"/>
              <w:right w:type="dxa" w:w="100"/>
            </w:tcMar>
            <w:vAlign w:val="center"/>
          </w:tcPr>
          <w:p>
            <w:r>
              <w:rPr>
                <w:b w:val="false"/>
                <w:bCs w:val="false"/>
                <w:color w:val="000000"/>
                <w:sz w:val="20"/>
                <w:szCs w:val="20"/>
              </w:rPr>
              <w:t xml:space="preserve">id, mission_id, type (photo / video / pdf / checklist), url, gps_lat, gps_lng, date_upload, valide_par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Documents</w:t>
            </w:r>
          </w:p>
        </w:tc>
        <w:tc>
          <w:tcPr>
            <w:tcW w:type="dxa" w:w="7700"/>
            <w:tcMar>
              <w:top w:type="dxa" w:w="80"/>
              <w:left w:type="dxa" w:w="100"/>
              <w:bottom w:type="dxa" w:w="80"/>
              <w:right w:type="dxa" w:w="100"/>
            </w:tcMar>
            <w:vAlign w:val="center"/>
          </w:tcPr>
          <w:p>
            <w:r>
              <w:rPr>
                <w:b w:val="false"/>
                <w:bCs w:val="false"/>
                <w:color w:val="000000"/>
                <w:sz w:val="20"/>
                <w:szCs w:val="20"/>
              </w:rPr>
              <w:t xml:space="preserve">id, mission_id, type (devis / facture / contrat / piece_identite / titre_foncier), url, date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Payments</w:t>
            </w:r>
          </w:p>
        </w:tc>
        <w:tc>
          <w:tcPr>
            <w:tcW w:type="dxa" w:w="7700"/>
            <w:tcMar>
              <w:top w:type="dxa" w:w="80"/>
              <w:left w:type="dxa" w:w="100"/>
              <w:bottom w:type="dxa" w:w="80"/>
              <w:right w:type="dxa" w:w="100"/>
            </w:tcMar>
            <w:vAlign w:val="center"/>
          </w:tcPr>
          <w:p>
            <w:r>
              <w:rPr>
                <w:b w:val="false"/>
                <w:bCs w:val="false"/>
                <w:color w:val="000000"/>
                <w:sz w:val="20"/>
                <w:szCs w:val="20"/>
              </w:rPr>
              <w:t xml:space="preserve">id, mission_id, montant, methode (momo / orange / carte / paypal / virement), statut, date, reference_transaction</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Messages</w:t>
            </w:r>
          </w:p>
        </w:tc>
        <w:tc>
          <w:tcPr>
            <w:tcW w:type="dxa" w:w="7700"/>
            <w:tcMar>
              <w:top w:type="dxa" w:w="80"/>
              <w:left w:type="dxa" w:w="100"/>
              <w:bottom w:type="dxa" w:w="80"/>
              <w:right w:type="dxa" w:w="100"/>
            </w:tcMar>
            <w:vAlign w:val="center"/>
          </w:tcPr>
          <w:p>
            <w:r>
              <w:rPr>
                <w:b w:val="false"/>
                <w:bCs w:val="false"/>
                <w:color w:val="000000"/>
                <w:sz w:val="20"/>
                <w:szCs w:val="20"/>
              </w:rPr>
              <w:t xml:space="preserve">id, mission_id, sender_id, contenu, piece_jointe_url, date, lu</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Partners</w:t>
            </w:r>
          </w:p>
        </w:tc>
        <w:tc>
          <w:tcPr>
            <w:tcW w:type="dxa" w:w="7700"/>
            <w:tcMar>
              <w:top w:type="dxa" w:w="80"/>
              <w:left w:type="dxa" w:w="100"/>
              <w:bottom w:type="dxa" w:w="80"/>
              <w:right w:type="dxa" w:w="100"/>
            </w:tcMar>
            <w:vAlign w:val="center"/>
          </w:tcPr>
          <w:p>
            <w:r>
              <w:rPr>
                <w:b w:val="false"/>
                <w:bCs w:val="false"/>
                <w:color w:val="000000"/>
                <w:sz w:val="20"/>
                <w:szCs w:val="20"/>
              </w:rPr>
              <w:t xml:space="preserve">id, nom, type (architecte / notaire / banque / artisan / entreprise), contact, note_moyenne</w:t>
            </w:r>
          </w:p>
        </w:tc>
      </w:tr>
    </w:tbl>
    <w:p>
      <w:pPr>
        <w:pStyle w:val="Heading1"/>
        <w:pBdr>
          <w:bottom w:val="single" w:color="B8944A" w:sz="6" w:space="4"/>
        </w:pBdr>
        <w:spacing w:after="200" w:before="400"/>
      </w:pPr>
      <w:r>
        <w:rPr>
          <w:b/>
          <w:bCs/>
          <w:color w:val="1F5E3E"/>
        </w:rPr>
        <w:t xml:space="preserve">7. Paiements</w:t>
      </w:r>
    </w:p>
    <w:p>
      <w:pPr>
        <w:spacing w:after="120"/>
      </w:pPr>
      <w:r>
        <w:t xml:space="preserve">Besoin confirmé dès le lancement : Mobile Money et carte bancaire internationale.</w:t>
      </w:r>
    </w:p>
    <w:p>
      <w:pPr>
        <w:pStyle w:val="ListParagraph"/>
        <w:numPr>
          <w:ilvl w:val="0"/>
          <w:numId w:val="1"/>
        </w:numPr>
        <w:spacing w:after="60"/>
      </w:pPr>
      <w:r>
        <w:t xml:space="preserve">Mobile Money (MTN MoMo, Orange Money) — incontournable pour la clientèle locale et les prestataires payés sur place.</w:t>
      </w:r>
    </w:p>
    <w:p>
      <w:pPr>
        <w:pStyle w:val="ListParagraph"/>
        <w:numPr>
          <w:ilvl w:val="0"/>
          <w:numId w:val="1"/>
        </w:numPr>
        <w:spacing w:after="60"/>
      </w:pPr>
      <w:r>
        <w:t xml:space="preserve">Carte bancaire internationale (Visa/Mastercard) — indispensable pour la diaspora qui paie depuis l'étranger.</w:t>
      </w:r>
    </w:p>
    <w:p>
      <w:pPr>
        <w:spacing w:after="120"/>
      </w:pPr>
      <w:r>
        <w:t xml:space="preserve">Plutôt que d'intégrer chaque opérateur séparément (approche évoquée dans la version « v1.0 » du cahier des charges), la pratique courante au Cameroun — et l'approche retenue pour ce projet — est de passer par un agrégateur unique qui combine Mobile Money et cartes dans une seule intégration technique. Cela réduit le nombre de contrats, de webhooks et de surfaces d'erreur à maintenir.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800"/>
      </w:tblGrid>
      <w:tr>
        <w:trPr>
          <w:tblHeader/>
        </w:trPr>
        <w:tc>
          <w:tcPr>
            <w:tcW w:type="dxa" w:w="2100"/>
            <w:shd w:fill="1F5E3E" w:val="clear"/>
            <w:tcMar>
              <w:top w:type="dxa" w:w="80"/>
              <w:left w:type="dxa" w:w="100"/>
              <w:bottom w:type="dxa" w:w="80"/>
              <w:right w:type="dxa" w:w="100"/>
            </w:tcMar>
            <w:vAlign w:val="center"/>
          </w:tcPr>
          <w:p>
            <w:r>
              <w:rPr>
                <w:b/>
                <w:bCs/>
                <w:color w:val="FFFFFF"/>
                <w:sz w:val="20"/>
                <w:szCs w:val="20"/>
              </w:rPr>
              <w:t xml:space="preserve">Agrégateur</w:t>
            </w:r>
          </w:p>
        </w:tc>
        <w:tc>
          <w:tcPr>
            <w:tcW w:type="dxa" w:w="3800"/>
            <w:shd w:fill="1F5E3E" w:val="clear"/>
            <w:tcMar>
              <w:top w:type="dxa" w:w="80"/>
              <w:left w:type="dxa" w:w="100"/>
              <w:bottom w:type="dxa" w:w="80"/>
              <w:right w:type="dxa" w:w="100"/>
            </w:tcMar>
            <w:vAlign w:val="center"/>
          </w:tcPr>
          <w:p>
            <w:r>
              <w:rPr>
                <w:b/>
                <w:bCs/>
                <w:color w:val="FFFFFF"/>
                <w:sz w:val="20"/>
                <w:szCs w:val="20"/>
              </w:rPr>
              <w:t xml:space="preserve">Couverture</w:t>
            </w:r>
          </w:p>
        </w:tc>
        <w:tc>
          <w:tcPr>
            <w:tcW w:type="dxa" w:w="3800"/>
            <w:shd w:fill="1F5E3E" w:val="clear"/>
            <w:tcMar>
              <w:top w:type="dxa" w:w="80"/>
              <w:left w:type="dxa" w:w="100"/>
              <w:bottom w:type="dxa" w:w="80"/>
              <w:right w:type="dxa" w:w="100"/>
            </w:tcMar>
            <w:vAlign w:val="center"/>
          </w:tcPr>
          <w:p>
            <w:r>
              <w:rPr>
                <w:b/>
                <w:bCs/>
                <w:color w:val="FFFFFF"/>
                <w:sz w:val="20"/>
                <w:szCs w:val="20"/>
              </w:rPr>
              <w:t xml:space="preserve">Remarque</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CinetPay</w:t>
            </w:r>
          </w:p>
        </w:tc>
        <w:tc>
          <w:tcPr>
            <w:tcW w:type="dxa" w:w="3800"/>
            <w:tcMar>
              <w:top w:type="dxa" w:w="80"/>
              <w:left w:type="dxa" w:w="100"/>
              <w:bottom w:type="dxa" w:w="80"/>
              <w:right w:type="dxa" w:w="100"/>
            </w:tcMar>
            <w:vAlign w:val="center"/>
          </w:tcPr>
          <w:p>
            <w:r>
              <w:rPr>
                <w:b w:val="false"/>
                <w:bCs w:val="false"/>
                <w:color w:val="000000"/>
                <w:sz w:val="20"/>
                <w:szCs w:val="20"/>
              </w:rPr>
              <w:t xml:space="preserve">MTN MoMo + Orange Money + cartes</w:t>
            </w:r>
          </w:p>
        </w:tc>
        <w:tc>
          <w:tcPr>
            <w:tcW w:type="dxa" w:w="3800"/>
            <w:tcMar>
              <w:top w:type="dxa" w:w="80"/>
              <w:left w:type="dxa" w:w="100"/>
              <w:bottom w:type="dxa" w:w="80"/>
              <w:right w:type="dxa" w:w="100"/>
            </w:tcMar>
            <w:vAlign w:val="center"/>
          </w:tcPr>
          <w:p>
            <w:r>
              <w:rPr>
                <w:b w:val="false"/>
                <w:bCs w:val="false"/>
                <w:color w:val="000000"/>
                <w:sz w:val="20"/>
                <w:szCs w:val="20"/>
              </w:rPr>
              <w:t xml:space="preserve">Panafricain, plugins WooCommerce/PrestaShop, API bien documentée</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CamerPay</w:t>
            </w:r>
          </w:p>
        </w:tc>
        <w:tc>
          <w:tcPr>
            <w:tcW w:type="dxa" w:w="3800"/>
            <w:tcMar>
              <w:top w:type="dxa" w:w="80"/>
              <w:left w:type="dxa" w:w="100"/>
              <w:bottom w:type="dxa" w:w="80"/>
              <w:right w:type="dxa" w:w="100"/>
            </w:tcMar>
            <w:vAlign w:val="center"/>
          </w:tcPr>
          <w:p>
            <w:r>
              <w:rPr>
                <w:b w:val="false"/>
                <w:bCs w:val="false"/>
                <w:color w:val="000000"/>
                <w:sz w:val="20"/>
                <w:szCs w:val="20"/>
              </w:rPr>
              <w:t xml:space="preserve">MTN MoMo + Orange Money + cartes (via Stripe) + PayPal</w:t>
            </w:r>
          </w:p>
        </w:tc>
        <w:tc>
          <w:tcPr>
            <w:tcW w:type="dxa" w:w="3800"/>
            <w:tcMar>
              <w:top w:type="dxa" w:w="80"/>
              <w:left w:type="dxa" w:w="100"/>
              <w:bottom w:type="dxa" w:w="80"/>
              <w:right w:type="dxa" w:w="100"/>
            </w:tcMar>
            <w:vAlign w:val="center"/>
          </w:tcPr>
          <w:p>
            <w:r>
              <w:rPr>
                <w:b w:val="false"/>
                <w:bCs w:val="false"/>
                <w:color w:val="000000"/>
                <w:sz w:val="20"/>
                <w:szCs w:val="20"/>
              </w:rPr>
              <w:t xml:space="preserve">100 % camerounais, une seule API pour tous les moyens de paiement</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ElyonPay</w:t>
            </w:r>
          </w:p>
        </w:tc>
        <w:tc>
          <w:tcPr>
            <w:tcW w:type="dxa" w:w="3800"/>
            <w:tcMar>
              <w:top w:type="dxa" w:w="80"/>
              <w:left w:type="dxa" w:w="100"/>
              <w:bottom w:type="dxa" w:w="80"/>
              <w:right w:type="dxa" w:w="100"/>
            </w:tcMar>
            <w:vAlign w:val="center"/>
          </w:tcPr>
          <w:p>
            <w:r>
              <w:rPr>
                <w:b w:val="false"/>
                <w:bCs w:val="false"/>
                <w:color w:val="000000"/>
                <w:sz w:val="20"/>
                <w:szCs w:val="20"/>
              </w:rPr>
              <w:t xml:space="preserve">Mobile Money + Visa/Mastercard</w:t>
            </w:r>
          </w:p>
        </w:tc>
        <w:tc>
          <w:tcPr>
            <w:tcW w:type="dxa" w:w="3800"/>
            <w:tcMar>
              <w:top w:type="dxa" w:w="80"/>
              <w:left w:type="dxa" w:w="100"/>
              <w:bottom w:type="dxa" w:w="80"/>
              <w:right w:type="dxa" w:w="100"/>
            </w:tcMar>
            <w:vAlign w:val="center"/>
          </w:tcPr>
          <w:p>
            <w:r>
              <w:rPr>
                <w:b w:val="false"/>
                <w:bCs w:val="false"/>
                <w:color w:val="000000"/>
                <w:sz w:val="20"/>
                <w:szCs w:val="20"/>
              </w:rPr>
              <w:t xml:space="preserve">SDKs JS/PHP/Python</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PayDunya, Monetbil, MyCoolPay</w:t>
            </w:r>
          </w:p>
        </w:tc>
        <w:tc>
          <w:tcPr>
            <w:tcW w:type="dxa" w:w="3800"/>
            <w:tcMar>
              <w:top w:type="dxa" w:w="80"/>
              <w:left w:type="dxa" w:w="100"/>
              <w:bottom w:type="dxa" w:w="80"/>
              <w:right w:type="dxa" w:w="100"/>
            </w:tcMar>
            <w:vAlign w:val="center"/>
          </w:tcPr>
          <w:p>
            <w:r>
              <w:rPr>
                <w:b w:val="false"/>
                <w:bCs w:val="false"/>
                <w:color w:val="000000"/>
                <w:sz w:val="20"/>
                <w:szCs w:val="20"/>
              </w:rPr>
              <w:t xml:space="preserve">Variable selon opérateur</w:t>
            </w:r>
          </w:p>
        </w:tc>
        <w:tc>
          <w:tcPr>
            <w:tcW w:type="dxa" w:w="3800"/>
            <w:tcMar>
              <w:top w:type="dxa" w:w="80"/>
              <w:left w:type="dxa" w:w="100"/>
              <w:bottom w:type="dxa" w:w="80"/>
              <w:right w:type="dxa" w:w="100"/>
            </w:tcMar>
            <w:vAlign w:val="center"/>
          </w:tcPr>
          <w:p>
            <w:r>
              <w:rPr>
                <w:b w:val="false"/>
                <w:bCs w:val="false"/>
                <w:color w:val="000000"/>
                <w:sz w:val="20"/>
                <w:szCs w:val="20"/>
              </w:rPr>
              <w:t xml:space="preserve">Alternatives à comparer (frais généralement 2 à 3,5 % par transaction)</w:t>
            </w:r>
          </w:p>
        </w:tc>
      </w:tr>
    </w:tbl>
    <w:p>
      <w:pPr>
        <w:pBdr>
          <w:left w:val="single" w:color="B8944A" w:sz="16" w:space="8"/>
        </w:pBdr>
        <w:shd w:fill="F4EFE2" w:val="clear"/>
        <w:spacing w:after="160" w:before="100"/>
        <w:ind w:left="200"/>
      </w:pPr>
      <w:r>
        <w:rPr>
          <w:i/>
          <w:iCs/>
          <w:color w:val="3A3A3A"/>
        </w:rPr>
        <w:t xml:space="preserve">Ces informations datent de la recherche de préparation de ce cahier des charges et doivent être revérifiées (tarifs, conditions, disponibilité) directement sur le site de chaque prestataire avant tout engagement. Le choix définitif de l'agrégateur est une décision à prendre pendant la phase de développement, pas au stade de la spécification.</w:t>
      </w:r>
    </w:p>
    <w:p>
      <w:pPr>
        <w:spacing w:after="120"/>
      </w:pPr>
      <w:r>
        <w:t xml:space="preserve">PayPal et le virement bancaire peuvent être proposés en complément à partir de la phase 3, pour les membres de la diaspora dont la carte n'est pas compatible avec l'agrégateur retenu.</w:t>
      </w:r>
    </w:p>
    <w:p>
      <w:pPr>
        <w:pStyle w:val="Heading1"/>
        <w:pBdr>
          <w:bottom w:val="single" w:color="B8944A" w:sz="6" w:space="4"/>
        </w:pBdr>
        <w:spacing w:after="200" w:before="400"/>
      </w:pPr>
      <w:r>
        <w:rPr>
          <w:b/>
          <w:bCs/>
          <w:color w:val="1F5E3E"/>
        </w:rPr>
        <w:t xml:space="preserve">8. Sécurité</w:t>
      </w:r>
    </w:p>
    <w:p>
      <w:pPr>
        <w:pStyle w:val="ListParagraph"/>
        <w:numPr>
          <w:ilvl w:val="0"/>
          <w:numId w:val="1"/>
        </w:numPr>
        <w:spacing w:after="60"/>
      </w:pPr>
      <w:r>
        <w:t xml:space="preserve">Mots de passe hashés, jamais stockés en clair.</w:t>
      </w:r>
    </w:p>
    <w:p>
      <w:pPr>
        <w:pStyle w:val="ListParagraph"/>
        <w:numPr>
          <w:ilvl w:val="0"/>
          <w:numId w:val="1"/>
        </w:numPr>
        <w:spacing w:after="60"/>
      </w:pPr>
      <w:r>
        <w:t xml:space="preserve">Authentification à deux facteurs (2FA), en priorité via WhatsApp.</w:t>
      </w:r>
    </w:p>
    <w:p>
      <w:pPr>
        <w:pStyle w:val="ListParagraph"/>
        <w:numPr>
          <w:ilvl w:val="0"/>
          <w:numId w:val="1"/>
        </w:numPr>
        <w:spacing w:after="60"/>
      </w:pPr>
      <w:r>
        <w:t xml:space="preserve">Contrôle d'accès strict côté serveur : un client ne peut consulter que ses propres missions, documents et paiements ; un agent ne voit que ses missions assignées. Jamais une simple restriction d'affichage côté interface.</w:t>
      </w:r>
    </w:p>
    <w:p>
      <w:pPr>
        <w:pStyle w:val="ListParagraph"/>
        <w:numPr>
          <w:ilvl w:val="0"/>
          <w:numId w:val="1"/>
        </w:numPr>
        <w:spacing w:after="60"/>
      </w:pPr>
      <w:r>
        <w:t xml:space="preserve">HTTPS obligatoire sur l'ensemble de la plateforme.</w:t>
      </w:r>
    </w:p>
    <w:p>
      <w:pPr>
        <w:pStyle w:val="ListParagraph"/>
        <w:numPr>
          <w:ilvl w:val="0"/>
          <w:numId w:val="1"/>
        </w:numPr>
        <w:spacing w:after="60"/>
      </w:pPr>
      <w:r>
        <w:t xml:space="preserve">Webhooks de paiement vérifiés par signature, pour éviter toute fausse confirmation de paiement.</w:t>
      </w:r>
    </w:p>
    <w:p>
      <w:pPr>
        <w:pStyle w:val="ListParagraph"/>
        <w:numPr>
          <w:ilvl w:val="0"/>
          <w:numId w:val="1"/>
        </w:numPr>
        <w:spacing w:after="60"/>
      </w:pPr>
      <w:r>
        <w:t xml:space="preserve">Sauvegardes automatiques régulières de la base de données et des fichiers.</w:t>
      </w:r>
    </w:p>
    <w:p>
      <w:pPr>
        <w:pStyle w:val="ListParagraph"/>
        <w:numPr>
          <w:ilvl w:val="0"/>
          <w:numId w:val="1"/>
        </w:numPr>
        <w:spacing w:after="60"/>
      </w:pPr>
      <w:r>
        <w:t xml:space="preserve">Journalisation complète des actions sensibles (changement de statut, accès aux documents d'identité, paiements).</w:t>
      </w:r>
    </w:p>
    <w:p>
      <w:pPr>
        <w:pStyle w:val="ListParagraph"/>
        <w:numPr>
          <w:ilvl w:val="0"/>
          <w:numId w:val="1"/>
        </w:numPr>
        <w:spacing w:after="60"/>
      </w:pPr>
      <w:r>
        <w:t xml:space="preserve">Gestion fine des droits d'accès par rôle (voir section 2).</w:t>
      </w:r>
    </w:p>
    <w:p>
      <w:pPr>
        <w:pStyle w:val="ListParagraph"/>
        <w:numPr>
          <w:ilvl w:val="0"/>
          <w:numId w:val="1"/>
        </w:numPr>
        <w:spacing w:after="60"/>
      </w:pPr>
      <w:r>
        <w:t xml:space="preserve">Protection contre les vulnérabilités courantes (OWASP Top 10).</w:t>
      </w:r>
    </w:p>
    <w:p>
      <w:pPr>
        <w:pStyle w:val="ListParagraph"/>
        <w:numPr>
          <w:ilvl w:val="0"/>
          <w:numId w:val="1"/>
        </w:numPr>
        <w:spacing w:after="60"/>
      </w:pPr>
      <w:r>
        <w:t xml:space="preserve">Conformité avec les exigences de protection des données personnelles applicables (données d'identité, titres fonciers, coordonnées bancaires).</w:t>
      </w:r>
    </w:p>
    <w:p>
      <w:pPr>
        <w:pStyle w:val="Heading1"/>
        <w:pBdr>
          <w:bottom w:val="single" w:color="B8944A" w:sz="6" w:space="4"/>
        </w:pBdr>
        <w:spacing w:after="200" w:before="400"/>
      </w:pPr>
      <w:r>
        <w:rPr>
          <w:b/>
          <w:bCs/>
          <w:color w:val="1F5E3E"/>
        </w:rPr>
        <w:t xml:space="preserve">9. Architecture technique</w:t>
      </w:r>
    </w:p>
    <w:p>
      <w:pPr>
        <w:spacing w:after="120"/>
      </w:pPr>
      <w:r>
        <w:t xml:space="preserve">Deux niveaux de lecture : une pile pragmatique pour livrer une v1 rapidement, et une cible plus robuste vers laquelle évoluer quand le volume d'utilisateurs et de missions le justifiera. Il ne s'agit pas de deux projets différents, mais d'une seule trajectoire technique.</w:t>
      </w:r>
    </w:p>
    <w:p>
      <w:pPr>
        <w:pStyle w:val="Heading2"/>
        <w:spacing w:after="140" w:before="280"/>
      </w:pPr>
      <w:r>
        <w:rPr>
          <w:b/>
          <w:bCs/>
          <w:color w:val="1F5E3E"/>
        </w:rPr>
        <w:t xml:space="preserve">9.1 Pile v1 (phases 1 à 3) — pragmatique</w:t>
      </w:r>
    </w:p>
    <w:p>
      <w:pPr>
        <w:pStyle w:val="ListParagraph"/>
        <w:numPr>
          <w:ilvl w:val="0"/>
          <w:numId w:val="1"/>
        </w:numPr>
        <w:spacing w:after="60"/>
      </w:pPr>
      <w:r>
        <w:t xml:space="preserve">Frontend : Next.js / React — cohérent avec une évolution progressive depuis le site vitrine actuel.</w:t>
      </w:r>
    </w:p>
    <w:p>
      <w:pPr>
        <w:pStyle w:val="ListParagraph"/>
        <w:numPr>
          <w:ilvl w:val="0"/>
          <w:numId w:val="1"/>
        </w:numPr>
        <w:spacing w:after="60"/>
      </w:pPr>
      <w:r>
        <w:t xml:space="preserve">Backend + base de données : Supabase (PostgreSQL + authentification + stockage de fichiers intégrés). Offre gratuite pour démarrer, contrôle d'accès par ligne (Row Level Security) directement adapté à la règle « un client ne voit que ses données ».</w:t>
      </w:r>
    </w:p>
    <w:p>
      <w:pPr>
        <w:pStyle w:val="ListParagraph"/>
        <w:numPr>
          <w:ilvl w:val="0"/>
          <w:numId w:val="1"/>
        </w:numPr>
        <w:spacing w:after="60"/>
      </w:pPr>
      <w:r>
        <w:t xml:space="preserve">Paiements : un agrégateur camerounais unique (voir section 7).</w:t>
      </w:r>
    </w:p>
    <w:p>
      <w:pPr>
        <w:pStyle w:val="ListParagraph"/>
        <w:numPr>
          <w:ilvl w:val="0"/>
          <w:numId w:val="1"/>
        </w:numPr>
        <w:spacing w:after="60"/>
      </w:pPr>
      <w:r>
        <w:t xml:space="preserve">Hébergement : Vercel ou Netlify, comme le site vitrine actuel.</w:t>
      </w:r>
    </w:p>
    <w:p>
      <w:pPr>
        <w:pStyle w:val="Heading2"/>
        <w:spacing w:after="140" w:before="280"/>
      </w:pPr>
      <w:r>
        <w:rPr>
          <w:b/>
          <w:bCs/>
          <w:color w:val="1F5E3E"/>
        </w:rPr>
        <w:t xml:space="preserve">9.2 Cible à moyen terme (phases 4+, applications mobiles, CRM, IA)</w:t>
      </w:r>
    </w:p>
    <w:p>
      <w:pPr>
        <w:pStyle w:val="ListParagraph"/>
        <w:numPr>
          <w:ilvl w:val="0"/>
          <w:numId w:val="1"/>
        </w:numPr>
        <w:spacing w:after="60"/>
      </w:pPr>
      <w:r>
        <w:t xml:space="preserve">Frontend : Next.js / React / TypeScript / Tailwind CSS.</w:t>
      </w:r>
    </w:p>
    <w:p>
      <w:pPr>
        <w:pStyle w:val="ListParagraph"/>
        <w:numPr>
          <w:ilvl w:val="0"/>
          <w:numId w:val="1"/>
        </w:numPr>
        <w:spacing w:after="60"/>
      </w:pPr>
      <w:r>
        <w:t xml:space="preserve">Backend : API dédiée (NestJS) si la logique métier (CRM, statistiques, IA Assistant) dépasse ce que Supabase permet de faire proprement en base.</w:t>
      </w:r>
    </w:p>
    <w:p>
      <w:pPr>
        <w:pStyle w:val="ListParagraph"/>
        <w:numPr>
          <w:ilvl w:val="0"/>
          <w:numId w:val="1"/>
        </w:numPr>
        <w:spacing w:after="60"/>
      </w:pPr>
      <w:r>
        <w:t xml:space="preserve">Base de données : PostgreSQL (migration naturelle depuis Supabase, qui est déjà du Postgres) + Redis pour le temps réel et les files d'attente (notifications, messagerie).</w:t>
      </w:r>
    </w:p>
    <w:p>
      <w:pPr>
        <w:pStyle w:val="ListParagraph"/>
        <w:numPr>
          <w:ilvl w:val="0"/>
          <w:numId w:val="1"/>
        </w:numPr>
        <w:spacing w:after="60"/>
      </w:pPr>
      <w:r>
        <w:t xml:space="preserve">Stockage de fichiers volumineux : Amazon S3 ou Cloudflare R2, si les volumes photo/vidéo dépassent les quotas Supabase.</w:t>
      </w:r>
    </w:p>
    <w:p>
      <w:pPr>
        <w:pStyle w:val="ListParagraph"/>
        <w:numPr>
          <w:ilvl w:val="0"/>
          <w:numId w:val="1"/>
        </w:numPr>
        <w:spacing w:after="60"/>
      </w:pPr>
      <w:r>
        <w:t xml:space="preserve">Temps réel : WebSocket pour la messagerie et les notifications live.</w:t>
      </w:r>
    </w:p>
    <w:p>
      <w:pPr>
        <w:pStyle w:val="ListParagraph"/>
        <w:numPr>
          <w:ilvl w:val="0"/>
          <w:numId w:val="1"/>
        </w:numPr>
        <w:spacing w:after="60"/>
      </w:pPr>
      <w:r>
        <w:t xml:space="preserve">Cartographie : Google Maps pour la géolocalisation des interventions et la répartition géographique des missions.</w:t>
      </w:r>
    </w:p>
    <w:p>
      <w:pPr>
        <w:pStyle w:val="ListParagraph"/>
        <w:numPr>
          <w:ilvl w:val="0"/>
          <w:numId w:val="1"/>
        </w:numPr>
        <w:spacing w:after="60"/>
      </w:pPr>
      <w:r>
        <w:t xml:space="preserve">Application mobile chargés de mission : développement natif ou cross-platform (à trancher selon les compétences disponibles au moment de la phase 5).</w:t>
      </w:r>
    </w:p>
    <w:p>
      <w:pPr>
        <w:pBdr>
          <w:left w:val="single" w:color="B8944A" w:sz="16" w:space="8"/>
        </w:pBdr>
        <w:shd w:fill="F4EFE2" w:val="clear"/>
        <w:spacing w:after="160" w:before="100"/>
        <w:ind w:left="200"/>
      </w:pPr>
      <w:r>
        <w:rPr>
          <w:i/>
          <w:iCs/>
          <w:color w:val="3A3A3A"/>
        </w:rPr>
        <w:t xml:space="preserve">Recommandation : ne pas migrer de Supabase vers une architecture NestJS/Redis/S3 par anticipation. Migrer seulement quand une limite concrète (quota de stockage, besoin réel de temps réel avancé, complexité du CRM) est atteinte. Une migration tardive mais justifiée coûte moins cher qu'une infrastructure surdimensionnée dès le premier client.</w:t>
      </w:r>
    </w:p>
    <w:p>
      <w:pPr>
        <w:pStyle w:val="Heading1"/>
        <w:pBdr>
          <w:bottom w:val="single" w:color="B8944A" w:sz="6" w:space="4"/>
        </w:pBdr>
        <w:spacing w:after="200" w:before="400"/>
      </w:pPr>
      <w:r>
        <w:rPr>
          <w:b/>
          <w:bCs/>
          <w:color w:val="1F5E3E"/>
        </w:rPr>
        <w:t xml:space="preserve">10. Ce qui existe déjà (à réutiliser, pas à refaire)</w:t>
      </w:r>
    </w:p>
    <w:p>
      <w:pPr>
        <w:pStyle w:val="ListParagraph"/>
        <w:numPr>
          <w:ilvl w:val="0"/>
          <w:numId w:val="1"/>
        </w:numPr>
        <w:spacing w:after="60"/>
      </w:pPr>
      <w:r>
        <w:t xml:space="preserve">Identité de marque complète : logo, couleurs vert/or, typographies Fraunces + Manrope.</w:t>
      </w:r>
    </w:p>
    <w:p>
      <w:pPr>
        <w:pStyle w:val="ListParagraph"/>
        <w:numPr>
          <w:ilvl w:val="0"/>
          <w:numId w:val="1"/>
        </w:numPr>
        <w:spacing w:after="60"/>
      </w:pPr>
      <w:r>
        <w:t xml:space="preserve">Site vitrine en ligne (yega-cm.netlify.app), incluant les pages du module 1 (Accueil, À propos, Services, Réalisations, Tarifs, Blog, FAQ, Contact).</w:t>
      </w:r>
    </w:p>
    <w:p>
      <w:pPr>
        <w:pStyle w:val="ListParagraph"/>
        <w:numPr>
          <w:ilvl w:val="0"/>
          <w:numId w:val="1"/>
        </w:numPr>
        <w:spacing w:after="60"/>
      </w:pPr>
      <w:r>
        <w:t xml:space="preserve">Formulaire « Confier une mission », qui peut devenir le point d'entrée du module 3 (dépôt de projet), créant automatiquement la première mission d'un nouveau client dans la plateforme.</w:t>
      </w:r>
    </w:p>
    <w:p>
      <w:pPr>
        <w:pStyle w:val="ListParagraph"/>
        <w:numPr>
          <w:ilvl w:val="0"/>
          <w:numId w:val="1"/>
        </w:numPr>
        <w:spacing w:after="60"/>
      </w:pPr>
      <w:r>
        <w:t xml:space="preserve">Parcours en 7 étapes déjà communiqué aux clients sur le site vitrine — à reprendre à l'identique dans le tableau de bord (section 3).</w:t>
      </w:r>
    </w:p>
    <w:p>
      <w:pPr>
        <w:pStyle w:val="Heading1"/>
        <w:pBdr>
          <w:bottom w:val="single" w:color="B8944A" w:sz="6" w:space="4"/>
        </w:pBdr>
        <w:spacing w:after="200" w:before="400"/>
      </w:pPr>
      <w:r>
        <w:rPr>
          <w:b/>
          <w:bCs/>
          <w:color w:val="1F5E3E"/>
        </w:rPr>
        <w:t xml:space="preserve">11. Phasage proposé</w:t>
      </w:r>
    </w:p>
    <w:p>
      <w:pPr>
        <w:spacing w:after="120"/>
      </w:pPr>
      <w:r>
        <w:t xml:space="preserve">Le phasage suit le principe déjà validé : chaque phase doit être fonctionnelle et testable avant de passer à la suivante. Les modules fonctionnels (section 4) sont répartis ci-dessous selon cette logique.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5700"/>
        <w:gridCol w:w="2700"/>
      </w:tblGrid>
      <w:tr>
        <w:trPr>
          <w:tblHeader/>
        </w:trPr>
        <w:tc>
          <w:tcPr>
            <w:tcW w:type="dxa" w:w="1300"/>
            <w:shd w:fill="1F5E3E" w:val="clear"/>
            <w:tcMar>
              <w:top w:type="dxa" w:w="80"/>
              <w:left w:type="dxa" w:w="100"/>
              <w:bottom w:type="dxa" w:w="80"/>
              <w:right w:type="dxa" w:w="100"/>
            </w:tcMar>
            <w:vAlign w:val="center"/>
          </w:tcPr>
          <w:p>
            <w:r>
              <w:rPr>
                <w:b/>
                <w:bCs/>
                <w:color w:val="FFFFFF"/>
                <w:sz w:val="20"/>
                <w:szCs w:val="20"/>
              </w:rPr>
              <w:t xml:space="preserve">Phase</w:t>
            </w:r>
          </w:p>
        </w:tc>
        <w:tc>
          <w:tcPr>
            <w:tcW w:type="dxa" w:w="5700"/>
            <w:shd w:fill="1F5E3E" w:val="clear"/>
            <w:tcMar>
              <w:top w:type="dxa" w:w="80"/>
              <w:left w:type="dxa" w:w="100"/>
              <w:bottom w:type="dxa" w:w="80"/>
              <w:right w:type="dxa" w:w="100"/>
            </w:tcMar>
            <w:vAlign w:val="center"/>
          </w:tcPr>
          <w:p>
            <w:r>
              <w:rPr>
                <w:b/>
                <w:bCs/>
                <w:color w:val="FFFFFF"/>
                <w:sz w:val="20"/>
                <w:szCs w:val="20"/>
              </w:rPr>
              <w:t xml:space="preserve">Contenu</w:t>
            </w:r>
          </w:p>
        </w:tc>
        <w:tc>
          <w:tcPr>
            <w:tcW w:type="dxa" w:w="2700"/>
            <w:shd w:fill="1F5E3E" w:val="clear"/>
            <w:tcMar>
              <w:top w:type="dxa" w:w="80"/>
              <w:left w:type="dxa" w:w="100"/>
              <w:bottom w:type="dxa" w:w="80"/>
              <w:right w:type="dxa" w:w="100"/>
            </w:tcMar>
            <w:vAlign w:val="center"/>
          </w:tcPr>
          <w:p>
            <w:r>
              <w:rPr>
                <w:b/>
                <w:bCs/>
                <w:color w:val="FFFFFF"/>
                <w:sz w:val="20"/>
                <w:szCs w:val="20"/>
              </w:rPr>
              <w:t xml:space="preserve">Modules couverts</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Phase 1</w:t>
            </w:r>
          </w:p>
        </w:tc>
        <w:tc>
          <w:tcPr>
            <w:tcW w:type="dxa" w:w="5700"/>
            <w:tcMar>
              <w:top w:type="dxa" w:w="80"/>
              <w:left w:type="dxa" w:w="100"/>
              <w:bottom w:type="dxa" w:w="80"/>
              <w:right w:type="dxa" w:w="100"/>
            </w:tcMar>
            <w:vAlign w:val="center"/>
          </w:tcPr>
          <w:p>
            <w:r>
              <w:rPr>
                <w:b w:val="false"/>
                <w:bCs w:val="false"/>
                <w:color w:val="000000"/>
                <w:sz w:val="20"/>
                <w:szCs w:val="20"/>
              </w:rPr>
              <w:t xml:space="preserve">Authentification (2FA WhatsApp) + tableau de bord missions en lecture seule, côté client et back-office. Création et affectation de mission par le responsable technique.</w:t>
            </w:r>
          </w:p>
        </w:tc>
        <w:tc>
          <w:tcPr>
            <w:tcW w:type="dxa" w:w="2700"/>
            <w:tcMar>
              <w:top w:type="dxa" w:w="80"/>
              <w:left w:type="dxa" w:w="100"/>
              <w:bottom w:type="dxa" w:w="80"/>
              <w:right w:type="dxa" w:w="100"/>
            </w:tcMar>
            <w:vAlign w:val="center"/>
          </w:tcPr>
          <w:p>
            <w:r>
              <w:rPr>
                <w:b w:val="false"/>
                <w:bCs w:val="false"/>
                <w:color w:val="000000"/>
                <w:sz w:val="20"/>
                <w:szCs w:val="20"/>
              </w:rPr>
              <w:t xml:space="preserve">2, 5, 6, 12 (création/affectation)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Phase 2</w:t>
            </w:r>
          </w:p>
        </w:tc>
        <w:tc>
          <w:tcPr>
            <w:tcW w:type="dxa" w:w="5700"/>
            <w:tcMar>
              <w:top w:type="dxa" w:w="80"/>
              <w:left w:type="dxa" w:w="100"/>
              <w:bottom w:type="dxa" w:w="80"/>
              <w:right w:type="dxa" w:w="100"/>
            </w:tcMar>
            <w:vAlign w:val="center"/>
          </w:tcPr>
          <w:p>
            <w:r>
              <w:rPr>
                <w:b w:val="false"/>
                <w:bCs w:val="false"/>
                <w:color w:val="000000"/>
                <w:sz w:val="20"/>
                <w:szCs w:val="20"/>
              </w:rPr>
              <w:t xml:space="preserve">Upload et consultation des rapports et documents ; dépôt de projet en autonomie par le client ; galerie avant/pendant/après.</w:t>
            </w:r>
          </w:p>
        </w:tc>
        <w:tc>
          <w:tcPr>
            <w:tcW w:type="dxa" w:w="2700"/>
            <w:tcMar>
              <w:top w:type="dxa" w:w="80"/>
              <w:left w:type="dxa" w:w="100"/>
              <w:bottom w:type="dxa" w:w="80"/>
              <w:right w:type="dxa" w:w="100"/>
            </w:tcMar>
            <w:vAlign w:val="center"/>
          </w:tcPr>
          <w:p>
            <w:r>
              <w:rPr>
                <w:b w:val="false"/>
                <w:bCs w:val="false"/>
                <w:color w:val="000000"/>
                <w:sz w:val="20"/>
                <w:szCs w:val="20"/>
              </w:rPr>
              <w:t xml:space="preserve">3, 4, 7, 8</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Phase 3</w:t>
            </w:r>
          </w:p>
        </w:tc>
        <w:tc>
          <w:tcPr>
            <w:tcW w:type="dxa" w:w="5700"/>
            <w:tcMar>
              <w:top w:type="dxa" w:w="80"/>
              <w:left w:type="dxa" w:w="100"/>
              <w:bottom w:type="dxa" w:w="80"/>
              <w:right w:type="dxa" w:w="100"/>
            </w:tcMar>
            <w:vAlign w:val="center"/>
          </w:tcPr>
          <w:p>
            <w:r>
              <w:rPr>
                <w:b w:val="false"/>
                <w:bCs w:val="false"/>
                <w:color w:val="000000"/>
                <w:sz w:val="20"/>
                <w:szCs w:val="20"/>
              </w:rPr>
              <w:t xml:space="preserve">Intégration des paiements (Mobile Money + carte via agrégateur unique) ; facturation ; CRM de base ; tableau de bord Direction.</w:t>
            </w:r>
          </w:p>
        </w:tc>
        <w:tc>
          <w:tcPr>
            <w:tcW w:type="dxa" w:w="2700"/>
            <w:tcMar>
              <w:top w:type="dxa" w:w="80"/>
              <w:left w:type="dxa" w:w="100"/>
              <w:bottom w:type="dxa" w:w="80"/>
              <w:right w:type="dxa" w:w="100"/>
            </w:tcMar>
            <w:vAlign w:val="center"/>
          </w:tcPr>
          <w:p>
            <w:r>
              <w:rPr>
                <w:b w:val="false"/>
                <w:bCs w:val="false"/>
                <w:color w:val="000000"/>
                <w:sz w:val="20"/>
                <w:szCs w:val="20"/>
              </w:rPr>
              <w:t xml:space="preserve">9, 13, 14, 19</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Phase 4</w:t>
            </w:r>
          </w:p>
        </w:tc>
        <w:tc>
          <w:tcPr>
            <w:tcW w:type="dxa" w:w="5700"/>
            <w:tcMar>
              <w:top w:type="dxa" w:w="80"/>
              <w:left w:type="dxa" w:w="100"/>
              <w:bottom w:type="dxa" w:w="80"/>
              <w:right w:type="dxa" w:w="100"/>
            </w:tcMar>
            <w:vAlign w:val="center"/>
          </w:tcPr>
          <w:p>
            <w:r>
              <w:rPr>
                <w:b w:val="false"/>
                <w:bCs w:val="false"/>
                <w:color w:val="000000"/>
                <w:sz w:val="20"/>
                <w:szCs w:val="20"/>
              </w:rPr>
              <w:t xml:space="preserve">Messagerie par mission ; agenda et planning des visites ; notifications multicanal.</w:t>
            </w:r>
          </w:p>
        </w:tc>
        <w:tc>
          <w:tcPr>
            <w:tcW w:type="dxa" w:w="2700"/>
            <w:tcMar>
              <w:top w:type="dxa" w:w="80"/>
              <w:left w:type="dxa" w:w="100"/>
              <w:bottom w:type="dxa" w:w="80"/>
              <w:right w:type="dxa" w:w="100"/>
            </w:tcMar>
            <w:vAlign w:val="center"/>
          </w:tcPr>
          <w:p>
            <w:r>
              <w:rPr>
                <w:b w:val="false"/>
                <w:bCs w:val="false"/>
                <w:color w:val="000000"/>
                <w:sz w:val="20"/>
                <w:szCs w:val="20"/>
              </w:rPr>
              <w:t xml:space="preserve">10, 11, 16</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Phase 5</w:t>
            </w:r>
          </w:p>
        </w:tc>
        <w:tc>
          <w:tcPr>
            <w:tcW w:type="dxa" w:w="5700"/>
            <w:tcMar>
              <w:top w:type="dxa" w:w="80"/>
              <w:left w:type="dxa" w:w="100"/>
              <w:bottom w:type="dxa" w:w="80"/>
              <w:right w:type="dxa" w:w="100"/>
            </w:tcMar>
            <w:vAlign w:val="center"/>
          </w:tcPr>
          <w:p>
            <w:r>
              <w:rPr>
                <w:b w:val="false"/>
                <w:bCs w:val="false"/>
                <w:color w:val="000000"/>
                <w:sz w:val="20"/>
                <w:szCs w:val="20"/>
              </w:rPr>
              <w:t xml:space="preserve">Signature électronique ; gestion des partenaires ; centre d'aide ; application mobile « YEGA Mission ».</w:t>
            </w:r>
          </w:p>
        </w:tc>
        <w:tc>
          <w:tcPr>
            <w:tcW w:type="dxa" w:w="2700"/>
            <w:tcMar>
              <w:top w:type="dxa" w:w="80"/>
              <w:left w:type="dxa" w:w="100"/>
              <w:bottom w:type="dxa" w:w="80"/>
              <w:right w:type="dxa" w:w="100"/>
            </w:tcMar>
            <w:vAlign w:val="center"/>
          </w:tcPr>
          <w:p>
            <w:r>
              <w:rPr>
                <w:b w:val="false"/>
                <w:bCs w:val="false"/>
                <w:color w:val="000000"/>
                <w:sz w:val="20"/>
                <w:szCs w:val="20"/>
              </w:rPr>
              <w:t xml:space="preserve">17, 18, 20 + app mobile</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Phase 6 (évolutions)</w:t>
            </w:r>
          </w:p>
        </w:tc>
        <w:tc>
          <w:tcPr>
            <w:tcW w:type="dxa" w:w="5700"/>
            <w:tcMar>
              <w:top w:type="dxa" w:w="80"/>
              <w:left w:type="dxa" w:w="100"/>
              <w:bottom w:type="dxa" w:w="80"/>
              <w:right w:type="dxa" w:w="100"/>
            </w:tcMar>
            <w:vAlign w:val="center"/>
          </w:tcPr>
          <w:p>
            <w:r>
              <w:rPr>
                <w:b w:val="false"/>
                <w:bCs w:val="false"/>
                <w:color w:val="000000"/>
                <w:sz w:val="20"/>
                <w:szCs w:val="20"/>
              </w:rPr>
              <w:t xml:space="preserve">IA YEGA Assistant, une fois les données missions/rapports/paiements fiables et complètes.</w:t>
            </w:r>
          </w:p>
        </w:tc>
        <w:tc>
          <w:tcPr>
            <w:tcW w:type="dxa" w:w="2700"/>
            <w:tcMar>
              <w:top w:type="dxa" w:w="80"/>
              <w:left w:type="dxa" w:w="100"/>
              <w:bottom w:type="dxa" w:w="80"/>
              <w:right w:type="dxa" w:w="100"/>
            </w:tcMar>
            <w:vAlign w:val="center"/>
          </w:tcPr>
          <w:p>
            <w:r>
              <w:rPr>
                <w:b w:val="false"/>
                <w:bCs w:val="false"/>
                <w:color w:val="000000"/>
                <w:sz w:val="20"/>
                <w:szCs w:val="20"/>
              </w:rPr>
              <w:t xml:space="preserve">15</w:t>
            </w:r>
          </w:p>
        </w:tc>
      </w:tr>
    </w:tbl>
    <w:p>
      <w:pPr>
        <w:pStyle w:val="Heading1"/>
        <w:pBdr>
          <w:bottom w:val="single" w:color="B8944A" w:sz="6" w:space="4"/>
        </w:pBdr>
        <w:spacing w:after="200" w:before="400"/>
      </w:pPr>
      <w:r>
        <w:rPr>
          <w:b/>
          <w:bCs/>
          <w:color w:val="1F5E3E"/>
        </w:rPr>
        <w:t xml:space="preserve">12. Évolutions futures (au-delà de la plateforme initiale)</w:t>
      </w:r>
    </w:p>
    <w:p>
      <w:pPr>
        <w:spacing w:after="120"/>
      </w:pPr>
      <w:r>
        <w:t xml:space="preserve">Ces pistes ne sont pas à chiffrer ni à concevoir maintenant, mais elles doivent rester compatibles avec les choix d'architecture pris dès la phase 1 (notamment : structurer proprement les rapports et photos par mission, pour ne pas devoir tout réorganiser le jour où l'IA ou la reconnaissance d'image entrent en jeu).</w:t>
      </w:r>
    </w:p>
    <w:p>
      <w:pPr>
        <w:pStyle w:val="ListParagraph"/>
        <w:numPr>
          <w:ilvl w:val="0"/>
          <w:numId w:val="1"/>
        </w:numPr>
        <w:spacing w:after="60"/>
      </w:pPr>
      <w:r>
        <w:t xml:space="preserve">Intelligence artificielle d'analyse des rapports.</w:t>
      </w:r>
    </w:p>
    <w:p>
      <w:pPr>
        <w:pStyle w:val="ListParagraph"/>
        <w:numPr>
          <w:ilvl w:val="0"/>
          <w:numId w:val="1"/>
        </w:numPr>
        <w:spacing w:after="60"/>
      </w:pPr>
      <w:r>
        <w:t xml:space="preserve">Reconnaissance automatique d'anomalies sur les photos de chantier.</w:t>
      </w:r>
    </w:p>
    <w:p>
      <w:pPr>
        <w:pStyle w:val="ListParagraph"/>
        <w:numPr>
          <w:ilvl w:val="0"/>
          <w:numId w:val="1"/>
        </w:numPr>
        <w:spacing w:after="60"/>
      </w:pPr>
      <w:r>
        <w:t xml:space="preserve">Estimation automatique des coûts de travaux.</w:t>
      </w:r>
    </w:p>
    <w:p>
      <w:pPr>
        <w:pStyle w:val="ListParagraph"/>
        <w:numPr>
          <w:ilvl w:val="0"/>
          <w:numId w:val="1"/>
        </w:numPr>
        <w:spacing w:after="60"/>
      </w:pPr>
      <w:r>
        <w:t xml:space="preserve">Intégration de drones pour les inspections.</w:t>
      </w:r>
    </w:p>
    <w:p>
      <w:pPr>
        <w:pStyle w:val="ListParagraph"/>
        <w:numPr>
          <w:ilvl w:val="0"/>
          <w:numId w:val="1"/>
        </w:numPr>
        <w:spacing w:after="60"/>
      </w:pPr>
      <w:r>
        <w:t xml:space="preserve">Réalité augmentée pour visualiser les projets à distance.</w:t>
      </w:r>
    </w:p>
    <w:p>
      <w:pPr>
        <w:pStyle w:val="ListParagraph"/>
        <w:numPr>
          <w:ilvl w:val="0"/>
          <w:numId w:val="1"/>
        </w:numPr>
        <w:spacing w:after="60"/>
      </w:pPr>
      <w:r>
        <w:t xml:space="preserve">Tableau de bord personnalisé pour des investisseurs.</w:t>
      </w:r>
    </w:p>
    <w:p>
      <w:pPr>
        <w:pStyle w:val="ListParagraph"/>
        <w:numPr>
          <w:ilvl w:val="0"/>
          <w:numId w:val="1"/>
        </w:numPr>
        <w:spacing w:after="60"/>
      </w:pPr>
      <w:r>
        <w:t xml:space="preserve">Système de notation des partenaires (architectes, notaires, artisans...).</w:t>
      </w:r>
    </w:p>
    <w:p>
      <w:pPr>
        <w:pStyle w:val="ListParagraph"/>
        <w:numPr>
          <w:ilvl w:val="0"/>
          <w:numId w:val="1"/>
        </w:numPr>
        <w:spacing w:after="60"/>
      </w:pPr>
      <w:r>
        <w:t xml:space="preserve">Traduction multilingue (français, anglais, allemand).</w:t>
      </w:r>
    </w:p>
    <w:p>
      <w:pPr>
        <w:pStyle w:val="Heading1"/>
        <w:pBdr>
          <w:bottom w:val="single" w:color="B8944A" w:sz="6" w:space="4"/>
        </w:pBdr>
        <w:spacing w:after="200" w:before="400"/>
      </w:pPr>
      <w:r>
        <w:rPr>
          <w:b/>
          <w:bCs/>
          <w:color w:val="1F5E3E"/>
        </w:rPr>
        <w:t xml:space="preserve">13. Ambition</w:t>
      </w:r>
    </w:p>
    <w:p>
      <w:pPr>
        <w:spacing w:after="120"/>
      </w:pPr>
      <w:r>
        <w:t xml:space="preserve">La plateforme YEGA ne doit pas être un simple site web ni un outil de gestion interne. Elle doit devenir la plateforme numérique de confiance de la diaspora camerounaise, capable d'accompagner un client depuis la naissance de son projet jusqu'à sa réalisation complète, en offrant une visibilité totale, des échanges transparents et un suivi premium — construite étape par étape, chaque phase livrant une valeur réelle et vérifiable avant la suivante.</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3A3A"/>
        <w:sz w:val="16"/>
        <w:szCs w:val="16"/>
      </w:rPr>
      <w:t xml:space="preserve">Page </w:t>
    </w:r>
    <w:r>
      <w:rPr>
        <w:color w:val="3A3A3A"/>
        <w:sz w:val="16"/>
        <w:szCs w:val="16"/>
      </w:rPr>
      <w:fldChar w:fldCharType="begin"/>
      <w:instrText xml:space="preserve">PAGE</w:instrText>
      <w:fldChar w:fldCharType="separate"/>
      <w:fldChar w:fldCharType="end"/>
    </w:r>
    <w:r>
      <w:rPr>
        <w:color w:val="3A3A3A"/>
        <w:sz w:val="16"/>
        <w:szCs w:val="16"/>
      </w:rPr>
      <w:t xml:space="preserve"> / </w:t>
    </w:r>
    <w:r>
      <w:rPr>
        <w:color w:val="3A3A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3A3A3A"/>
        <w:sz w:val="16"/>
        <w:szCs w:val="16"/>
      </w:rPr>
      <w:t xml:space="preserve">YEGA PROJECT — Cahier des charges plateforme numérique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2026-08-19T10:36:59.771Z</dcterms:created>
  <dcterms:modified xsi:type="dcterms:W3CDTF">2026-08-19T10:36:59.793Z</dcterms:modified>
</cp:coreProperties>
</file>

<file path=docProps/custom.xml><?xml version="1.0" encoding="utf-8"?>
<Properties xmlns="http://schemas.openxmlformats.org/officeDocument/2006/custom-properties" xmlns:vt="http://schemas.openxmlformats.org/officeDocument/2006/docPropsVTypes"/>
</file>