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47096">
      <w:pPr>
        <w:jc w:val="center"/>
        <w:rPr>
          <w:rFonts w:hint="eastAsia"/>
          <w:lang w:val="en-US" w:eastAsia="zh-CN"/>
        </w:rPr>
      </w:pPr>
      <w:r>
        <w:rPr>
          <w:rFonts w:hint="eastAsia"/>
          <w:lang w:val="en-US" w:eastAsia="zh-CN"/>
        </w:rPr>
        <w:t>第一次课堂作业</w:t>
      </w:r>
    </w:p>
    <w:p w14:paraId="373853A8">
      <w:pPr>
        <w:jc w:val="center"/>
        <w:rPr>
          <w:rFonts w:hint="eastAsia"/>
          <w:lang w:val="en-US" w:eastAsia="zh-CN"/>
        </w:rPr>
      </w:pPr>
      <w:r>
        <w:rPr>
          <w:rFonts w:hint="eastAsia"/>
          <w:lang w:val="en-US" w:eastAsia="zh-CN"/>
        </w:rPr>
        <w:t>杨一舟 2022141460176</w:t>
      </w:r>
    </w:p>
    <w:p w14:paraId="3EC88B39">
      <w:pPr>
        <w:numPr>
          <w:ilvl w:val="0"/>
          <w:numId w:val="1"/>
        </w:numPr>
        <w:ind w:firstLine="420" w:firstLineChars="0"/>
        <w:jc w:val="left"/>
        <w:rPr>
          <w:rFonts w:hint="eastAsia"/>
          <w:lang w:val="en-US" w:eastAsia="zh-CN"/>
        </w:rPr>
      </w:pPr>
      <w:r>
        <w:rPr>
          <w:rFonts w:hint="eastAsia"/>
          <w:lang w:val="en-US" w:eastAsia="zh-CN"/>
        </w:rPr>
        <w:t>脑机理启发的认知计算</w:t>
      </w:r>
    </w:p>
    <w:p w14:paraId="46832F3F">
      <w:pPr>
        <w:numPr>
          <w:ilvl w:val="0"/>
          <w:numId w:val="2"/>
        </w:numPr>
        <w:ind w:left="840" w:leftChars="0"/>
        <w:jc w:val="left"/>
        <w:rPr>
          <w:rFonts w:hint="eastAsia"/>
          <w:lang w:val="en-US" w:eastAsia="zh-CN"/>
        </w:rPr>
      </w:pPr>
      <w:r>
        <w:rPr>
          <w:rFonts w:hint="eastAsia"/>
          <w:lang w:val="en-US" w:eastAsia="zh-CN"/>
        </w:rPr>
        <w:t xml:space="preserve">S. Ahmad and A. D. W. Sumari, "Cognitive artificial intelligence: Brain-inspired intelligent computation in artificial intelligence," 2017 Computing Conference, London, UK, 2017, pp. 135-141, doi: 10.1109/SAI.2017.8252094. </w:t>
      </w:r>
    </w:p>
    <w:p w14:paraId="1F8E8A6B">
      <w:pPr>
        <w:numPr>
          <w:numId w:val="0"/>
        </w:numPr>
        <w:ind w:left="420" w:leftChars="0" w:firstLine="420" w:firstLineChars="0"/>
        <w:jc w:val="left"/>
        <w:rPr>
          <w:rFonts w:hint="eastAsia"/>
          <w:lang w:val="en-US" w:eastAsia="zh-CN"/>
        </w:rPr>
      </w:pPr>
    </w:p>
    <w:p w14:paraId="3CDAE613">
      <w:pPr>
        <w:numPr>
          <w:numId w:val="0"/>
        </w:numPr>
        <w:ind w:left="420" w:leftChars="0" w:firstLine="420" w:firstLineChars="0"/>
        <w:jc w:val="left"/>
        <w:rPr>
          <w:rFonts w:hint="eastAsia"/>
          <w:lang w:val="en-US" w:eastAsia="zh-CN"/>
        </w:rPr>
      </w:pPr>
      <w:r>
        <w:rPr>
          <w:rFonts w:hint="eastAsia"/>
          <w:lang w:val="en-US" w:eastAsia="zh-CN"/>
        </w:rPr>
        <w:t>本文</w:t>
      </w:r>
      <w:bookmarkStart w:id="0" w:name="_GoBack"/>
      <w:bookmarkEnd w:id="0"/>
      <w:r>
        <w:rPr>
          <w:rFonts w:hint="eastAsia"/>
          <w:lang w:val="en-US" w:eastAsia="zh-CN"/>
        </w:rPr>
        <w:t>介绍了一种新的方法——A3S（Arwin-Adang-Aciek-Sembiring），用于模拟人类大脑进行计算的过程，并通过感官系统获取环境中的信息，从而获得新的知识并不断更新自己的认知能力。这种方法被称为“知识增长系统”（KGS），是一种类似于人类思考和行动的智能代理。这种基于人脑启发的方法被称为“认知人工智能”（CAI）。该方法为人工智能领域提供了一个新的视角，可以应用于许多领域，如自然语言处理、机器学习等。</w:t>
      </w:r>
    </w:p>
    <w:p w14:paraId="07F5B603">
      <w:pPr>
        <w:numPr>
          <w:numId w:val="0"/>
        </w:numPr>
        <w:ind w:left="840" w:leftChars="0"/>
        <w:jc w:val="left"/>
        <w:rPr>
          <w:rFonts w:hint="eastAsia"/>
          <w:lang w:val="en-US" w:eastAsia="zh-CN"/>
        </w:rPr>
      </w:pPr>
    </w:p>
    <w:p w14:paraId="1D1379F0">
      <w:pPr>
        <w:numPr>
          <w:ilvl w:val="0"/>
          <w:numId w:val="1"/>
        </w:numPr>
        <w:ind w:firstLine="420" w:firstLineChars="0"/>
        <w:jc w:val="left"/>
        <w:rPr>
          <w:rFonts w:hint="default"/>
          <w:lang w:val="en-US" w:eastAsia="zh-CN"/>
        </w:rPr>
      </w:pPr>
      <w:r>
        <w:rPr>
          <w:rFonts w:hint="eastAsia"/>
          <w:lang w:val="en-US" w:eastAsia="zh-CN"/>
        </w:rPr>
        <w:t>计算神经科学</w:t>
      </w:r>
    </w:p>
    <w:p w14:paraId="351726BC">
      <w:pPr>
        <w:numPr>
          <w:numId w:val="0"/>
        </w:numPr>
        <w:ind w:left="840" w:leftChars="0"/>
        <w:jc w:val="left"/>
        <w:rPr>
          <w:rFonts w:hint="default"/>
          <w:lang w:val="en-US" w:eastAsia="zh-CN"/>
        </w:rPr>
      </w:pPr>
      <w:r>
        <w:rPr>
          <w:rFonts w:hint="default"/>
          <w:lang w:val="en-US" w:eastAsia="zh-CN"/>
        </w:rPr>
        <w:t>Edmund T. Rolls,A computational neuroscience approach to consciousness,Neural Networks,Volume 20, Issue 9,2007,Pages 962-982,ISSN 0893-6080,</w:t>
      </w:r>
    </w:p>
    <w:p w14:paraId="75B2936A">
      <w:pPr>
        <w:numPr>
          <w:numId w:val="0"/>
        </w:numPr>
        <w:ind w:left="840" w:leftChars="0"/>
        <w:jc w:val="left"/>
        <w:rPr>
          <w:rFonts w:hint="default"/>
          <w:lang w:val="en-US" w:eastAsia="zh-CN"/>
        </w:rPr>
      </w:pPr>
      <w:r>
        <w:rPr>
          <w:rFonts w:hint="default"/>
          <w:lang w:val="en-US" w:eastAsia="zh-CN"/>
        </w:rPr>
        <w:fldChar w:fldCharType="begin"/>
      </w:r>
      <w:r>
        <w:rPr>
          <w:rFonts w:hint="default"/>
          <w:lang w:val="en-US" w:eastAsia="zh-CN"/>
        </w:rPr>
        <w:instrText xml:space="preserve"> HYPERLINK "https://doi.org/10.1016/j.neunet.2007.10.001." </w:instrText>
      </w:r>
      <w:r>
        <w:rPr>
          <w:rFonts w:hint="default"/>
          <w:lang w:val="en-US" w:eastAsia="zh-CN"/>
        </w:rPr>
        <w:fldChar w:fldCharType="separate"/>
      </w:r>
      <w:r>
        <w:rPr>
          <w:rStyle w:val="5"/>
          <w:rFonts w:hint="default"/>
          <w:lang w:val="en-US" w:eastAsia="zh-CN"/>
        </w:rPr>
        <w:t>https://doi.org/10.1016/j.neunet.2007.10.001.</w:t>
      </w:r>
      <w:r>
        <w:rPr>
          <w:rFonts w:hint="default"/>
          <w:lang w:val="en-US" w:eastAsia="zh-CN"/>
        </w:rPr>
        <w:fldChar w:fldCharType="end"/>
      </w:r>
    </w:p>
    <w:p w14:paraId="15E138E1">
      <w:pPr>
        <w:numPr>
          <w:numId w:val="0"/>
        </w:numPr>
        <w:ind w:left="840" w:leftChars="0"/>
        <w:jc w:val="left"/>
        <w:rPr>
          <w:rFonts w:hint="default"/>
          <w:lang w:val="en-US" w:eastAsia="zh-CN"/>
        </w:rPr>
      </w:pPr>
    </w:p>
    <w:p w14:paraId="33744282">
      <w:pPr>
        <w:numPr>
          <w:ilvl w:val="0"/>
          <w:numId w:val="0"/>
        </w:numPr>
        <w:ind w:left="420" w:leftChars="0" w:firstLine="420" w:firstLineChars="0"/>
        <w:jc w:val="left"/>
        <w:rPr>
          <w:rFonts w:hint="default"/>
          <w:lang w:val="en-US" w:eastAsia="zh-CN"/>
        </w:rPr>
      </w:pPr>
      <w:r>
        <w:rPr>
          <w:rFonts w:hint="eastAsia"/>
          <w:lang w:val="en-US" w:eastAsia="zh-CN"/>
        </w:rPr>
        <w:t>本文</w:t>
      </w:r>
      <w:r>
        <w:rPr>
          <w:rFonts w:hint="default"/>
          <w:lang w:val="en-US" w:eastAsia="zh-CN"/>
        </w:rPr>
        <w:t>探讨了意识的本质和神经计算过程的关系。作者通过研究视觉皮层中神经元的活动发现，大多数关于刺激的信息都存在于每个神经元的放电率中，而不是来自同步或振荡等与刺激相关的因素。这表明同步或振荡并不是视觉物体感知的基本要素。此外，通过对后向掩蔽的研究，作者认为人类对视觉信息的意识阈值可能高于小但显著的信息水平，这些信息允许人们在没有意识的情况下猜测显示的刺激是什么。这种适应性可能是为了防止感官通路中的噪声干扰到大脑中执行意识思考的系统。最后，作者提出了一个高级语法思维（HOST）的计算理论，认为这种思维的适应价值在于解决多步语法计划需要纠正时出现的信用分配问题。同时，作者还讨论了感觉和情感处理如何产生主观感受，并解释了为什么这些过程会感到“像什么”。总之，该论文提供了一种新的理解意识本质的方式，并为未来的研究提供了启示。</w:t>
      </w:r>
    </w:p>
    <w:p w14:paraId="6C39E65E">
      <w:pPr>
        <w:numPr>
          <w:numId w:val="0"/>
        </w:numPr>
        <w:ind w:left="840" w:leftChars="0"/>
        <w:jc w:val="left"/>
        <w:rPr>
          <w:rFonts w:hint="default"/>
          <w:lang w:val="en-US" w:eastAsia="zh-CN"/>
        </w:rPr>
      </w:pPr>
    </w:p>
    <w:p w14:paraId="61E3D8AD">
      <w:pPr>
        <w:numPr>
          <w:ilvl w:val="0"/>
          <w:numId w:val="1"/>
        </w:numPr>
        <w:ind w:firstLine="420" w:firstLineChars="0"/>
        <w:jc w:val="left"/>
        <w:rPr>
          <w:rFonts w:hint="default"/>
          <w:lang w:val="en-US" w:eastAsia="zh-CN"/>
        </w:rPr>
      </w:pPr>
      <w:r>
        <w:rPr>
          <w:rFonts w:hint="eastAsia"/>
          <w:lang w:val="en-US" w:eastAsia="zh-CN"/>
        </w:rPr>
        <w:t>神经形态计算</w:t>
      </w:r>
    </w:p>
    <w:p w14:paraId="17D6CD63">
      <w:pPr>
        <w:numPr>
          <w:numId w:val="0"/>
        </w:numPr>
        <w:ind w:left="840" w:leftChars="0"/>
        <w:jc w:val="left"/>
        <w:rPr>
          <w:rFonts w:hint="default"/>
          <w:lang w:val="en-US" w:eastAsia="zh-CN"/>
        </w:rPr>
      </w:pPr>
      <w:r>
        <w:rPr>
          <w:rFonts w:hint="default"/>
          <w:lang w:val="en-US" w:eastAsia="zh-CN"/>
        </w:rPr>
        <w:t xml:space="preserve">van de Burgt, Y., Melianas, A., Keene, S.T. et al. Organic electronics for neuromorphic computing. Nat Electron 1, 386–397 (2018). </w:t>
      </w:r>
      <w:r>
        <w:rPr>
          <w:rFonts w:hint="default"/>
          <w:lang w:val="en-US" w:eastAsia="zh-CN"/>
        </w:rPr>
        <w:fldChar w:fldCharType="begin"/>
      </w:r>
      <w:r>
        <w:rPr>
          <w:rFonts w:hint="default"/>
          <w:lang w:val="en-US" w:eastAsia="zh-CN"/>
        </w:rPr>
        <w:instrText xml:space="preserve"> HYPERLINK "https://doi.org/10.1038/s41928-018-0103-3" </w:instrText>
      </w:r>
      <w:r>
        <w:rPr>
          <w:rFonts w:hint="default"/>
          <w:lang w:val="en-US" w:eastAsia="zh-CN"/>
        </w:rPr>
        <w:fldChar w:fldCharType="separate"/>
      </w:r>
      <w:r>
        <w:rPr>
          <w:rStyle w:val="5"/>
          <w:rFonts w:hint="default"/>
          <w:lang w:val="en-US" w:eastAsia="zh-CN"/>
        </w:rPr>
        <w:t>https://doi.org/10.1038/s41928-018-0103-3</w:t>
      </w:r>
      <w:r>
        <w:rPr>
          <w:rFonts w:hint="default"/>
          <w:lang w:val="en-US" w:eastAsia="zh-CN"/>
        </w:rPr>
        <w:fldChar w:fldCharType="end"/>
      </w:r>
    </w:p>
    <w:p w14:paraId="77F77089">
      <w:pPr>
        <w:numPr>
          <w:numId w:val="0"/>
        </w:numPr>
        <w:ind w:left="840" w:leftChars="0"/>
        <w:jc w:val="left"/>
        <w:rPr>
          <w:rFonts w:hint="default"/>
          <w:lang w:val="en-US" w:eastAsia="zh-CN"/>
        </w:rPr>
      </w:pPr>
    </w:p>
    <w:p w14:paraId="4732344E">
      <w:pPr>
        <w:numPr>
          <w:ilvl w:val="0"/>
          <w:numId w:val="0"/>
        </w:numPr>
        <w:ind w:left="420" w:leftChars="0" w:firstLine="420" w:firstLineChars="0"/>
        <w:jc w:val="left"/>
        <w:rPr>
          <w:rFonts w:hint="default"/>
          <w:lang w:val="en-US" w:eastAsia="zh-CN"/>
        </w:rPr>
      </w:pPr>
      <w:r>
        <w:rPr>
          <w:rFonts w:hint="default"/>
          <w:lang w:val="en-US" w:eastAsia="zh-CN"/>
        </w:rPr>
        <w:t>本文介绍了有机电子材料在神经形态计算中的应用。与传统的硅技术相比，有机电子材料具有低能耗、可扩展性和高灵活性等优势。作者讨论了不同电阻开关机制的应用，并强调了实现连续权重调整和高效的并行向量-矩阵乘法的重要性。此外，文章还探讨了目前有机电子器件面临的挑战，如稳定性、集成度和设备之间的差异性等问题。最后，作者提出了未来的研究方向和发展趋势，包括探索新的电阻开关机制、优化器件结构和提高器件性能等方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4065E"/>
    <w:multiLevelType w:val="singleLevel"/>
    <w:tmpl w:val="9FE4065E"/>
    <w:lvl w:ilvl="0" w:tentative="0">
      <w:start w:val="1"/>
      <w:numFmt w:val="upperLetter"/>
      <w:suff w:val="space"/>
      <w:lvlText w:val="%1."/>
      <w:lvlJc w:val="left"/>
    </w:lvl>
  </w:abstractNum>
  <w:abstractNum w:abstractNumId="1">
    <w:nsid w:val="1AEE5FE1"/>
    <w:multiLevelType w:val="multilevel"/>
    <w:tmpl w:val="1AEE5FE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0000000"/>
    <w:rsid w:val="77F40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2024-10-22T02:59:58Z</dcterms:created>
  <dc:creator>MountainMist</dc:creator>
  <cp:lastModifiedBy>岚山风</cp:lastModifiedBy>
  <dcterms:modified xsi:type="dcterms:W3CDTF">2024-10-22T03:07:44Z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70C44F97A2EB47D3A215502ED78DC5A4_12</vt:lpwstr>
  </property>
</Properties>
</file>