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1192950"/>
    <w:p w14:paraId="6C5A94DD">
      <w:pPr>
        <w:rPr>
          <w:rFonts w:hint="eastAsia"/>
        </w:rPr>
      </w:pPr>
      <w:r>
        <w:rPr>
          <w:rStyle w:val="9"/>
          <w:rFonts w:hint="eastAsia"/>
        </w:rPr>
        <w:t>背景引入</w:t>
      </w:r>
      <w:r>
        <w:rPr>
          <w:rFonts w:hint="eastAsia"/>
        </w:rPr>
        <w:tab/>
      </w:r>
    </w:p>
    <w:p w14:paraId="214206D8">
      <w:pPr>
        <w:bidi w:val="0"/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/>
        </w:rPr>
        <w:t>miRNA在细胞凋亡、分化和发展等生物过程中发挥着重要作用。越来越多的关注它们与复杂疾病的联系进一步强调了其重要性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但是</w:t>
      </w:r>
      <w:r>
        <w:rPr>
          <w:rFonts w:hint="eastAsia"/>
        </w:rPr>
        <w:t>传统的实验方法通常需要广泛的实验室能力和分析，准确但通常是低效的，它们耗时且昂贵</w:t>
      </w:r>
      <w:r>
        <w:rPr>
          <w:rFonts w:hint="eastAsia"/>
          <w:lang w:eastAsia="zh-CN"/>
        </w:rPr>
        <w:t>。</w:t>
      </w:r>
    </w:p>
    <w:p w14:paraId="39E41575">
      <w:pPr>
        <w:bidi w:val="0"/>
        <w:ind w:firstLine="420" w:firstLineChars="0"/>
      </w:pPr>
      <w:r>
        <w:t>本文针对以往的方法很少从整体的角度出发，只关注孤立的miRNA和疾病对象，从而忽略了人类细胞负责多种关系的问题，先构建了RNA-疾病 的多视图，然后用图注意力神经网络学习每个视图的miRNA和疾病的图拓扑特征，用多尺度特征融合模块优化，用miRNA和疾病的先验属性知识解决冷启动问题</w:t>
      </w:r>
    </w:p>
    <w:p w14:paraId="36990DD5">
      <w:pPr>
        <w:bidi w:val="0"/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作者：湖南大学彭绍亮教授团队博士生 Boya Ji ，Haitao Zou</w:t>
      </w:r>
    </w:p>
    <w:p w14:paraId="594DC177">
      <w:pPr>
        <w:bidi w:val="0"/>
        <w:ind w:firstLine="420" w:firstLineChars="0"/>
        <w:rPr>
          <w:rFonts w:hint="eastAsia"/>
        </w:rPr>
      </w:pPr>
      <w:r>
        <w:drawing>
          <wp:inline distT="0" distB="0" distL="114300" distR="114300">
            <wp:extent cx="5273675" cy="3295650"/>
            <wp:effectExtent l="0" t="0" r="952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C92DD">
      <w:pPr>
        <w:rPr>
          <w:rFonts w:hint="eastAsia"/>
        </w:rPr>
      </w:pPr>
      <w:r>
        <w:rPr>
          <w:rStyle w:val="9"/>
          <w:rFonts w:hint="eastAsia"/>
        </w:rPr>
        <w:t>相关工作</w:t>
      </w:r>
      <w:r>
        <w:rPr>
          <w:rFonts w:hint="eastAsia"/>
        </w:rPr>
        <w:tab/>
      </w:r>
    </w:p>
    <w:p w14:paraId="64EB9DEF">
      <w:pPr>
        <w:rPr>
          <w:rFonts w:hint="eastAsia"/>
        </w:rPr>
      </w:pPr>
      <w:r>
        <w:rPr>
          <w:rFonts w:hint="eastAsia"/>
        </w:rPr>
        <w:t>MHGTMDA: Molecular heterogeneous graph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transformer based on biological entity graph</w:t>
      </w:r>
    </w:p>
    <w:p w14:paraId="64AACABC">
      <w:pPr>
        <w:rPr>
          <w:rFonts w:hint="eastAsia"/>
        </w:rPr>
      </w:pPr>
      <w:r>
        <w:rPr>
          <w:rFonts w:hint="eastAsia"/>
        </w:rPr>
        <w:t>for miRNA-disease associations prediction基于生物实体图的分子异质图变换器用于miRNA-疾病关联预测</w:t>
      </w:r>
    </w:p>
    <w:p w14:paraId="2F9B86E9">
      <w:pPr>
        <w:rPr>
          <w:rFonts w:hint="eastAsia"/>
        </w:rPr>
      </w:pPr>
    </w:p>
    <w:p w14:paraId="0CB8415C">
      <w:pPr>
        <w:rPr>
          <w:rFonts w:hint="eastAsia"/>
        </w:rPr>
      </w:pPr>
      <w:r>
        <w:rPr>
          <w:rFonts w:hint="eastAsia"/>
        </w:rPr>
        <w:t>AMHMDA: attention aware multi-view similarity networks and hypergraph learning for miRNA–disease associations identification注意力感知的多视图相似网络和超图学习用于miRNA-疾病关联识别</w:t>
      </w:r>
    </w:p>
    <w:p w14:paraId="4E25FBB9">
      <w:pPr>
        <w:rPr>
          <w:rFonts w:hint="eastAsia"/>
        </w:rPr>
      </w:pPr>
    </w:p>
    <w:p w14:paraId="51D1F49A">
      <w:pPr>
        <w:rPr>
          <w:rFonts w:hint="eastAsia"/>
        </w:rPr>
      </w:pPr>
      <w:r>
        <w:rPr>
          <w:rFonts w:hint="eastAsia"/>
        </w:rPr>
        <w:t>HGANMDA</w:t>
      </w:r>
      <w:r>
        <w:rPr>
          <w:rFonts w:hint="eastAsia"/>
          <w:lang w:eastAsia="zh-CN"/>
        </w:rPr>
        <w:t>：</w:t>
      </w:r>
      <w:r>
        <w:rPr>
          <w:rFonts w:hint="eastAsia"/>
        </w:rPr>
        <w:t>Hierarchical graph attention network for miRNA-disease association prediction层次图注意力网络用于miRNA-疾病关联预测</w:t>
      </w:r>
    </w:p>
    <w:p w14:paraId="745BA7FA">
      <w:pPr>
        <w:rPr>
          <w:rFonts w:hint="eastAsia"/>
        </w:rPr>
      </w:pPr>
    </w:p>
    <w:p w14:paraId="000FD81F">
      <w:pPr>
        <w:rPr>
          <w:rFonts w:hint="eastAsia"/>
        </w:rPr>
      </w:pPr>
      <w:r>
        <w:rPr>
          <w:rFonts w:hint="eastAsia"/>
        </w:rPr>
        <w:t>NCMCMDA: miRNA–disease association prediction through neighborhood constraint matrix completion通过邻域约束矩阵补全预测miRNA-疾病关联</w:t>
      </w:r>
    </w:p>
    <w:p w14:paraId="639ADBD1">
      <w:pPr>
        <w:rPr>
          <w:rFonts w:hint="eastAsia"/>
        </w:rPr>
      </w:pPr>
    </w:p>
    <w:p w14:paraId="4E095F35">
      <w:pPr>
        <w:rPr>
          <w:rFonts w:hint="eastAsia"/>
        </w:rPr>
      </w:pPr>
      <w:r>
        <w:rPr>
          <w:rFonts w:hint="eastAsia"/>
        </w:rPr>
        <w:t>到目前为止，尽管已经使用了多种计算方法来预测MDA，但重要的是要注意，许多方法没有从整体角度出发，只关注孤立的miRNA和疾病目标，从而忽略了人类细胞负责多重关系的事实。</w:t>
      </w:r>
    </w:p>
    <w:p w14:paraId="4B68E4C8">
      <w:pPr>
        <w:rPr>
          <w:rFonts w:hint="eastAsia"/>
        </w:rPr>
      </w:pPr>
    </w:p>
    <w:p w14:paraId="696D9EEF">
      <w:pPr>
        <w:rPr>
          <w:rStyle w:val="9"/>
          <w:rFonts w:hint="eastAsia"/>
        </w:rPr>
      </w:pPr>
      <w:r>
        <w:rPr>
          <w:rStyle w:val="9"/>
          <w:rFonts w:hint="eastAsia"/>
        </w:rPr>
        <w:t>模型结构</w:t>
      </w:r>
    </w:p>
    <w:p w14:paraId="7D991E17">
      <w:pPr>
        <w:ind w:firstLine="420" w:firstLineChars="0"/>
        <w:rPr>
          <w:rFonts w:hint="eastAsia"/>
          <w:lang w:val="en-US" w:eastAsia="zh-CN"/>
        </w:rPr>
      </w:pPr>
      <w:r>
        <w:rPr>
          <w:rStyle w:val="10"/>
          <w:rFonts w:hint="eastAsia"/>
          <w:lang w:val="en-US" w:eastAsia="zh-CN"/>
        </w:rPr>
        <w:t>数据集</w:t>
      </w:r>
      <w:r>
        <w:rPr>
          <w:rFonts w:hint="eastAsia"/>
          <w:lang w:val="en-US" w:eastAsia="zh-CN"/>
        </w:rPr>
        <w:t>：人类microRNA疾病数据库（HMDDv3.2）-MDA、DrugBank数据库-异质性的miRNA-药物-疾病图、美国国家医学图书馆数据库-异质性的miRNA-mRNA-疾病、NONCODEV5数据库-异质性的miRNA-lncRNA-疾病图</w:t>
      </w:r>
    </w:p>
    <w:p w14:paraId="1EAB01AE">
      <w:p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/>
        </w:rPr>
        <w:tab/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412240" cy="2055495"/>
            <wp:effectExtent l="0" t="0" r="10160" b="1905"/>
            <wp:docPr id="3" name="图片 3" descr="屏幕截图 2024-10-07 151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10-07 15150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1224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86100" cy="1344295"/>
            <wp:effectExtent l="0" t="0" r="0" b="1905"/>
            <wp:docPr id="4" name="图片 4" descr="屏幕截图 2024-10-07 151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10-07 15152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70F85">
      <w:pPr>
        <w:rPr>
          <w:rFonts w:hint="eastAsia"/>
          <w:lang w:val="en-US" w:eastAsia="zh-CN"/>
        </w:rPr>
      </w:pPr>
      <w:r>
        <w:rPr>
          <w:rStyle w:val="10"/>
          <w:rFonts w:hint="eastAsia"/>
          <w:lang w:val="en-US" w:eastAsia="zh-CN"/>
        </w:rPr>
        <w:t>特征提取</w:t>
      </w:r>
      <w:r>
        <w:rPr>
          <w:rFonts w:hint="eastAsia"/>
          <w:lang w:val="en-US" w:eastAsia="zh-CN"/>
        </w:rPr>
        <w:t>：</w:t>
      </w:r>
    </w:p>
    <w:p w14:paraId="1FAA618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  <w:t>1# miRNA 的基于序列的属性特征</w:t>
      </w:r>
    </w:p>
    <w:p w14:paraId="1277FF97"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k-mer方法将其转换为向量，该方法将序列划分为长度为k的子序列，从而获得一个长度为m-k+1的k-mer向量来表示长度为m的序列。随后，我们将这些频率值归一化，以创建一个64维向量，用于表示miRNA序列信息，从而捕获miRNA的序列属性特征。</w:t>
      </w:r>
    </w:p>
    <w:p w14:paraId="2CD8575A">
      <w:pPr>
        <w:ind w:left="1680" w:leftChars="0" w:firstLine="420" w:firstLineChars="0"/>
        <w:rPr>
          <w:rFonts w:hint="eastAsia"/>
          <w:lang w:val="en-US" w:eastAsia="zh-CN"/>
        </w:rPr>
      </w:pPr>
    </w:p>
    <w:p w14:paraId="421A5A32"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2#基于语义相似性的疾病属性特征</w:t>
      </w:r>
    </w:p>
    <w:p w14:paraId="72BD608B"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医学主题词（MeSH，Medical Subject Heading，是由美国国家医学图书馆维护和更新的一个数据库）提供了一个全面的疾病分类系统。基于此，不同疾病之间的联系由有向无环图（DAG）表示。在这种图中，节点代表疾病的 MeSH 描述符，而有向边从更一般的实体连接到更具体的实体。例如，疾病 A 被表示为 DAG(A)=(D(A),E(A))，其中 D(A) 表示 A 和其祖先节点，E(A) 表示所有直接边。</w:t>
      </w:r>
    </w:p>
    <w:p w14:paraId="383F2D89"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在这样的图中通过语意相似性特征来衡量两种疾病之间的关联度。</w:t>
      </w:r>
    </w:p>
    <w:p w14:paraId="4866078F"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使用两种方法获取两种语意相似性特征 disease semantic similarity DSS1 / DSS2，采用两个语义相似性模型的总和作为疾病的属性特征，以实现更好的预测性能并解决冷启动问题。</w:t>
      </w:r>
    </w:p>
    <w:p w14:paraId="2E8AC97F">
      <w:pPr>
        <w:ind w:left="168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在此我的理解即为，冷启动问题源于模型在最开始时候还没学习到足够的特征，故而无法进行预测，那么我们通过已有的数据库MESH，为其提供基本的学习材料，来解决冷启动问题。</w:t>
      </w:r>
    </w:p>
    <w:p w14:paraId="47E45772">
      <w:pPr>
        <w:ind w:left="1680" w:leftChars="0" w:firstLine="420" w:firstLineChars="0"/>
        <w:rPr>
          <w:rFonts w:hint="eastAsia"/>
          <w:lang w:val="en-US" w:eastAsia="zh-CN"/>
        </w:rPr>
      </w:pPr>
    </w:p>
    <w:p w14:paraId="789CBC0E">
      <w:pPr>
        <w:ind w:left="1680" w:leftChars="0" w:firstLine="420" w:firstLineChars="0"/>
        <w:rPr>
          <w:rFonts w:hint="eastAsia"/>
          <w:lang w:val="en-US" w:eastAsia="zh-CN"/>
        </w:rPr>
      </w:pPr>
    </w:p>
    <w:p w14:paraId="294A5C38">
      <w:pPr>
        <w:ind w:left="1680" w:leftChars="0" w:firstLine="420" w:firstLineChars="0"/>
        <w:rPr>
          <w:rFonts w:hint="eastAsia"/>
          <w:lang w:val="en-US" w:eastAsia="zh-CN"/>
        </w:rPr>
      </w:pPr>
    </w:p>
    <w:p w14:paraId="46A63356"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在以下算式中，A是一种疾病，t是MESH中的一种描述符</w:t>
      </w:r>
    </w:p>
    <w:p w14:paraId="4992ED6A"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①DSS1获取方法：delta是语义贡献衰减因子，它减少了当疾病 t 不等于 A 时的影响。此外，疾病 A 本身保持了 1 的语义价值贡献。</w:t>
      </w:r>
    </w:p>
    <w:p w14:paraId="13E6AE3C">
      <w:pPr>
        <w:ind w:left="210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15970" cy="374650"/>
            <wp:effectExtent l="0" t="0" r="0" b="0"/>
            <wp:docPr id="6" name="图片 6" descr="屏幕截图 2024-10-07 154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10-07 154109"/>
                    <pic:cNvPicPr>
                      <a:picLocks noChangeAspect="1"/>
                    </pic:cNvPicPr>
                  </pic:nvPicPr>
                  <pic:blipFill>
                    <a:blip r:embed="rId7"/>
                    <a:srcRect t="19529" r="-481" b="22571"/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814955" cy="516255"/>
            <wp:effectExtent l="0" t="0" r="4445" b="4445"/>
            <wp:docPr id="5" name="图片 5" descr="屏幕截图 2024-10-07 154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10-07 1541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4955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4044315" cy="692785"/>
            <wp:effectExtent l="0" t="0" r="6985" b="5715"/>
            <wp:docPr id="7" name="图片 7" descr="屏幕截图 2024-10-07 154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10-07 154125"/>
                    <pic:cNvPicPr>
                      <a:picLocks noChangeAspect="1"/>
                    </pic:cNvPicPr>
                  </pic:nvPicPr>
                  <pic:blipFill>
                    <a:blip r:embed="rId9"/>
                    <a:srcRect l="6985" t="22812"/>
                    <a:stretch>
                      <a:fillRect/>
                    </a:stretch>
                  </pic:blipFill>
                  <pic:spPr>
                    <a:xfrm>
                      <a:off x="0" y="0"/>
                      <a:ext cx="404431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4CD9"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②DSS2获取方法：考虑不同疾病对于语意价值具有不同的贡献，出现在较少DAG中的疾病应比出现在较多DAG中的疾病对A的影响较小。 疾病A的语义价值受以下方式影响：</w:t>
      </w:r>
    </w:p>
    <w:p w14:paraId="521D7365"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79850" cy="669290"/>
            <wp:effectExtent l="0" t="0" r="6350" b="3810"/>
            <wp:docPr id="8" name="图片 8" descr="屏幕截图 2024-10-07 155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10-07 15514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18E5"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这样的方法与1不同之处在于考虑了不同类疾病</w:t>
      </w:r>
    </w:p>
    <w:p w14:paraId="370748C9"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11880" cy="865505"/>
            <wp:effectExtent l="0" t="0" r="7620" b="10795"/>
            <wp:docPr id="9" name="图片 9" descr="屏幕截图 2024-10-07 155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4-10-07 15515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95DF"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3#基于高斯交互作用特征轮廓核相似性的miRNA和疾病属性特征</w:t>
      </w:r>
    </w:p>
    <w:p w14:paraId="5FF2A902"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微小核糖核酸(microRNA,mRNA)具有相似功能往往与相似疾病有关</w:t>
      </w:r>
      <w:r>
        <w:rPr>
          <w:rFonts w:hint="eastAsia"/>
          <w:lang w:val="en-US" w:eastAsia="zh-CN"/>
        </w:rPr>
        <w:t>，疾病d(i)和d(j)之间的GIP内核相似性 KD (d(i),d(j))定义如下：</w:t>
      </w:r>
    </w:p>
    <w:p w14:paraId="0F920604"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84855" cy="2912110"/>
            <wp:effectExtent l="0" t="0" r="4445" b="889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506C1"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并且使用相同的方法来计算miRNA之间的相似性</w:t>
      </w:r>
    </w:p>
    <w:p w14:paraId="6897D4E2"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以上所有工作的综合：</w:t>
      </w:r>
    </w:p>
    <w:p w14:paraId="0922BBCB"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为了更全面地描述miRNA的属性特征，我们将基于序列的特征（SM）与基于GIP核相似性度量的特征（KM）连接起来，设计了一个集成miRNA属性特征矩阵DM。具体来说，DM通过以下方式获得：</w:t>
      </w:r>
    </w:p>
    <w:p w14:paraId="0B964C9A">
      <w:p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30495" cy="585470"/>
            <wp:effectExtent l="0" t="0" r="1905" b="1143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rcRect r="735" b="80935"/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58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83107"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此外，还基于语义相似性1（DSS1）、语义相似性2（DSS2）和疾病GIP内核相似度（KD）设计了一个综合疾病属性特征矩阵DD。具体来说，DD 的获取方式如下：</w:t>
      </w:r>
    </w:p>
    <w:p w14:paraId="43AC658A">
      <w:pPr>
        <w:ind w:left="420" w:leftChars="0" w:firstLine="420" w:firstLineChars="0"/>
      </w:pPr>
      <w:r>
        <w:drawing>
          <wp:inline distT="0" distB="0" distL="114300" distR="114300">
            <wp:extent cx="5043805" cy="1109345"/>
            <wp:effectExtent l="0" t="0" r="10795" b="825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rcRect l="4278" t="63875"/>
                    <a:stretch>
                      <a:fillRect/>
                    </a:stretch>
                  </pic:blipFill>
                  <pic:spPr>
                    <a:xfrm>
                      <a:off x="0" y="0"/>
                      <a:ext cx="5043805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A6218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多视角异质图注意力网络</w:t>
      </w:r>
    </w:p>
    <w:p w14:paraId="7BCC0BC1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多视角异质图：</w:t>
      </w:r>
      <w:r>
        <w:rPr>
          <w:rFonts w:hint="default"/>
          <w:lang w:val="en-US" w:eastAsia="zh-CN"/>
        </w:rPr>
        <w:t>由于疾病通路的复杂性和异质性，我们可能会忽略一些因素。因此，我们使用其他生物标志物作为中介来构建多视图图形</w:t>
      </w:r>
      <w:r>
        <w:rPr>
          <w:rFonts w:hint="eastAsia"/>
          <w:lang w:val="en-US" w:eastAsia="zh-CN"/>
        </w:rPr>
        <w:t>，不同的中介物就是不同的视角</w:t>
      </w:r>
      <w:r>
        <w:rPr>
          <w:rFonts w:hint="default"/>
          <w:lang w:val="en-US" w:eastAsia="zh-CN"/>
        </w:rPr>
        <w:t>。我们分别构建了三个异质图：miRNA-mRNA-disease 图、miRNA-lncRNA-disease 图和 miRNA-drug-disease 图。</w:t>
      </w:r>
    </w:p>
    <w:p w14:paraId="1198A5A0">
      <w:pPr>
        <w:ind w:left="420" w:leftChars="0"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意思就是，不直接构建MDA的关联图，而是通过一个中间物质来构建MDA，比如原来是A-B，而现在写成A-C , C-B,所以A-C-B。</w:t>
      </w:r>
    </w:p>
    <w:p w14:paraId="06F27067">
      <w:pPr>
        <w:ind w:left="420" w:leftChars="0" w:firstLine="420" w:firstLineChars="0"/>
        <w:rPr>
          <w:rFonts w:hint="eastAsia"/>
          <w:color w:val="0000FF"/>
          <w:lang w:val="en-US" w:eastAsia="zh-CN"/>
        </w:rPr>
      </w:pPr>
    </w:p>
    <w:p w14:paraId="4B032670">
      <w:pPr>
        <w:ind w:left="420" w:leftChars="0" w:firstLine="420" w:firstLineChars="0"/>
        <w:rPr>
          <w:rFonts w:hint="eastAsia"/>
          <w:color w:val="0000FF"/>
          <w:lang w:val="en-US" w:eastAsia="zh-CN"/>
        </w:rPr>
      </w:pPr>
    </w:p>
    <w:p w14:paraId="6564793A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我们为每个视图使用了图注意力神经网络。最后，我们通过多尺度特征融合模块将三个视图中的每个miRNA和疾病特征融合为它们的最终图结构特征。下列介绍每个视图中的计算方法。</w:t>
      </w:r>
    </w:p>
    <w:p w14:paraId="741071E7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图注意力系数的计算：其中，W 是一个可学习的权重矩阵，Wi、Wj 和 Wk 分别表示节点 i、j 和 k 的特征向量。·、l 和 T 分别代表乘法、连接和转置操作，aT∈R2F 是单层前馈神经网络 a 的权重参数，LeakyReLU 是非线性激活函数，exp 是指数函数，Ni 表示节点 i 的所有邻居节点，αij 表示从节点 i 到节点 j 的注意力系数。为了增强模型的拟合能力，我们引入了多头注意力机制，即使用多个 W 矩阵同时计算各种注意力系数。</w:t>
      </w:r>
    </w:p>
    <w:p w14:paraId="2595689D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812800"/>
            <wp:effectExtent l="0" t="0" r="635" b="0"/>
            <wp:docPr id="14" name="图片 14" descr="屏幕截图 2024-10-07 161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4-10-07 1618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5A99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图节点特征的最终表示：其中，d 表示 W 矩阵的数量，α_{φij} 表示第 φ 个注意力系数，σ 是激活函数，i 表示节点 i 的最终输出特征表示。当节点表示不再发生显著变化时，停止图注意力网络的学习过程，并获得最终的节点表示。</w:t>
      </w:r>
    </w:p>
    <w:p w14:paraId="42A595E8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19600" cy="981075"/>
            <wp:effectExtent l="0" t="0" r="0" b="9525"/>
            <wp:docPr id="15" name="图片 15" descr="屏幕截图 2024-10-07 161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4-10-07 1618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9A6E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多尺度特征融合</w:t>
      </w:r>
    </w:p>
    <w:p w14:paraId="36321A44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为了有效地融合 miRNA 和疾病三种类型的图结构特征，以更准确地刻画它们并提高潜在关联预测的准确性，我们设计了一个多尺度注意力特征融合模块。具体来说，该模块聚合了 miRNA 和疾病三种类型图结构特征的局部和全局特征上下文。为了聚合这些特征的局部通道语境，我们采用了点卷积（PWConv）方法[18]，这是一种只考虑每个空间位置的点对通道交互的卷积形式，使用 1×1 核。通过瓶颈结构计算局部通道语境 L(X)：</w:t>
      </w:r>
    </w:p>
    <w:p w14:paraId="4329CCB4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L(X) = B (PWConv2 (δ (B (PWConv1(X)))))</w:t>
      </w:r>
    </w:p>
    <w:p w14:paraId="067FEEAC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PWConv1 和 PWConv2 分别表示两个点卷积操作。PWConv1 和 PWConv2 的内核大小分别为 1 × 1778 × 889（通道减少层）和 3 × 1778 × 889（通道增加层）。B 表示批归一化 (BN)，而δ表示修正线性单元 (ReLU) 函数。</w:t>
      </w:r>
    </w:p>
    <w:p w14:paraId="51152DE7">
      <w:pPr>
        <w:ind w:left="420" w:leftChars="0" w:firstLine="420" w:firstLineChars="0"/>
        <w:rPr>
          <w:rFonts w:hint="default"/>
          <w:lang w:val="en-US" w:eastAsia="zh-CN"/>
        </w:rPr>
      </w:pPr>
    </w:p>
    <w:p w14:paraId="73553985">
      <w:pPr>
        <w:ind w:left="420" w:leftChars="0" w:firstLine="420" w:firstLineChars="0"/>
        <w:rPr>
          <w:rFonts w:hint="default"/>
          <w:lang w:val="en-US" w:eastAsia="zh-CN"/>
        </w:rPr>
      </w:pPr>
    </w:p>
    <w:p w14:paraId="5B873893">
      <w:pPr>
        <w:ind w:left="420" w:leftChars="0" w:firstLine="420" w:firstLineChars="0"/>
        <w:rPr>
          <w:rFonts w:hint="default"/>
          <w:lang w:val="en-US" w:eastAsia="zh-CN"/>
        </w:rPr>
      </w:pPr>
    </w:p>
    <w:p w14:paraId="625C228F">
      <w:pPr>
        <w:ind w:left="420" w:leftChars="0" w:firstLine="420" w:firstLineChars="0"/>
        <w:rPr>
          <w:rFonts w:hint="default"/>
          <w:lang w:val="en-US" w:eastAsia="zh-CN"/>
        </w:rPr>
      </w:pPr>
    </w:p>
    <w:p w14:paraId="0C6EDA84">
      <w:pPr>
        <w:ind w:left="420" w:leftChars="0" w:firstLine="420" w:firstLineChars="0"/>
        <w:rPr>
          <w:rFonts w:hint="default"/>
          <w:lang w:val="en-US" w:eastAsia="zh-CN"/>
        </w:rPr>
      </w:pPr>
    </w:p>
    <w:p w14:paraId="0C4279CF">
      <w:pPr>
        <w:ind w:left="420" w:leftChars="0" w:firstLine="420" w:firstLineChars="0"/>
        <w:rPr>
          <w:rFonts w:hint="default"/>
          <w:lang w:val="en-US" w:eastAsia="zh-CN"/>
        </w:rPr>
      </w:pPr>
    </w:p>
    <w:p w14:paraId="0FAA94F6">
      <w:pPr>
        <w:ind w:left="420" w:leftChars="0" w:firstLine="420" w:firstLineChars="0"/>
        <w:rPr>
          <w:rFonts w:hint="default"/>
          <w:lang w:val="en-US" w:eastAsia="zh-CN"/>
        </w:rPr>
      </w:pPr>
    </w:p>
    <w:p w14:paraId="411C9C61">
      <w:pPr>
        <w:ind w:left="420" w:leftChars="0" w:firstLine="420" w:firstLineChars="0"/>
        <w:rPr>
          <w:rFonts w:hint="default"/>
          <w:lang w:val="en-US" w:eastAsia="zh-CN"/>
        </w:rPr>
      </w:pPr>
    </w:p>
    <w:p w14:paraId="4C213821">
      <w:pPr>
        <w:ind w:left="420" w:leftChars="0" w:firstLine="420" w:firstLineChars="0"/>
        <w:rPr>
          <w:rFonts w:hint="default"/>
          <w:lang w:val="en-US" w:eastAsia="zh-CN"/>
        </w:rPr>
      </w:pPr>
    </w:p>
    <w:p w14:paraId="6896F176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使用全局平均池化 (GAP) 如下：</w:t>
      </w:r>
    </w:p>
    <w:p w14:paraId="0B1640C2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03905" cy="628650"/>
            <wp:effectExtent l="0" t="0" r="0" b="0"/>
            <wp:docPr id="17" name="图片 17" descr="屏幕截图 2024-10-07 163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4-10-07 163259"/>
                    <pic:cNvPicPr>
                      <a:picLocks noChangeAspect="1"/>
                    </pic:cNvPicPr>
                  </pic:nvPicPr>
                  <pic:blipFill>
                    <a:blip r:embed="rId16"/>
                    <a:srcRect r="-872" b="65433"/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7F21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其中，i 和 j 分别表示特征矩阵 X 的行号和列号。通过全局通道上下文 g(X) 和局部通道上下文 L(X)，多尺度注意力机制提供了一个精炼的特征 X'∈R1778×889，如下所示：</w:t>
      </w:r>
    </w:p>
    <w:p w14:paraId="58904CF4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95295" cy="486410"/>
            <wp:effectExtent l="0" t="0" r="0" b="0"/>
            <wp:docPr id="16" name="图片 16" descr="屏幕截图 2024-10-07 163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4-10-07 163259"/>
                    <pic:cNvPicPr>
                      <a:picLocks noChangeAspect="1"/>
                    </pic:cNvPicPr>
                  </pic:nvPicPr>
                  <pic:blipFill>
                    <a:blip r:embed="rId16"/>
                    <a:srcRect l="8550" t="73254"/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392F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然后，将微小 RNA 和疾病的最终融合特征馈入一个多层感知器 (MLP)，并使用标准二元交叉熵损失函数进行训练和预测。</w:t>
      </w:r>
    </w:p>
    <w:p w14:paraId="67ACA175">
      <w:pPr>
        <w:pStyle w:val="3"/>
        <w:bidi w:val="0"/>
        <w:rPr>
          <w:rFonts w:hint="eastAsia"/>
        </w:rPr>
      </w:pPr>
      <w:r>
        <w:rPr>
          <w:rFonts w:hint="eastAsia"/>
        </w:rPr>
        <w:t>模型实验</w:t>
      </w:r>
      <w:r>
        <w:rPr>
          <w:rFonts w:hint="eastAsia"/>
        </w:rPr>
        <w:tab/>
      </w:r>
    </w:p>
    <w:p w14:paraId="19DC713B"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交叉验证</w:t>
      </w:r>
    </w:p>
    <w:p w14:paraId="6621131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在 5 </w:t>
      </w:r>
      <w:r>
        <w:rPr>
          <w:rFonts w:hint="eastAsia"/>
          <w:lang w:val="en-US" w:eastAsia="zh-CN"/>
        </w:rPr>
        <w:t>折</w:t>
      </w:r>
      <w:r>
        <w:rPr>
          <w:rFonts w:hint="default"/>
          <w:lang w:val="en-US" w:eastAsia="zh-CN"/>
        </w:rPr>
        <w:t>和 10</w:t>
      </w:r>
      <w:r>
        <w:rPr>
          <w:rFonts w:hint="eastAsia"/>
          <w:lang w:val="en-US" w:eastAsia="zh-CN"/>
        </w:rPr>
        <w:t>折</w:t>
      </w:r>
      <w:r>
        <w:rPr>
          <w:rFonts w:hint="default"/>
          <w:lang w:val="en-US" w:eastAsia="zh-CN"/>
        </w:rPr>
        <w:t>交叉验证下，MUSCLE 的平均 AUC 值分别为 0.9666 和 0.9737，标准差仅为 0.0102 和 0.0135。此外，MUSCLE 的平均 AUPR 值也分别达到 0.9649 和 0.9725。所有这些指标和可视化的结果证明了 MUSCLE 在预测潜在 MDA 时具有出色的表现和鲁棒性</w:t>
      </w:r>
      <w:r>
        <w:rPr>
          <w:rFonts w:hint="default"/>
          <w:lang w:val="en-US" w:eastAsia="zh-CN"/>
        </w:rPr>
        <w:drawing>
          <wp:inline distT="0" distB="0" distL="114300" distR="114300">
            <wp:extent cx="4813300" cy="970280"/>
            <wp:effectExtent l="0" t="0" r="0" b="7620"/>
            <wp:docPr id="18" name="图片 18" descr="屏幕截图 2024-10-07 163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4-10-07 163553"/>
                    <pic:cNvPicPr>
                      <a:picLocks noChangeAspect="1"/>
                    </pic:cNvPicPr>
                  </pic:nvPicPr>
                  <pic:blipFill>
                    <a:blip r:embed="rId17"/>
                    <a:srcRect t="80312" r="-2633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146675" cy="1468755"/>
            <wp:effectExtent l="0" t="0" r="0" b="4445"/>
            <wp:docPr id="19" name="图片 19" descr="屏幕截图 2024-10-07 16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4-10-07 163606"/>
                    <pic:cNvPicPr>
                      <a:picLocks noChangeAspect="1"/>
                    </pic:cNvPicPr>
                  </pic:nvPicPr>
                  <pic:blipFill>
                    <a:blip r:embed="rId18"/>
                    <a:srcRect r="-8233" b="67779"/>
                    <a:stretch>
                      <a:fillRect/>
                    </a:stretch>
                  </pic:blipFill>
                  <pic:spPr>
                    <a:xfrm>
                      <a:off x="0" y="0"/>
                      <a:ext cx="514667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ADFA">
      <w:pPr>
        <w:rPr>
          <w:rFonts w:hint="default"/>
          <w:lang w:val="en-US" w:eastAsia="zh-CN"/>
        </w:rPr>
      </w:pPr>
    </w:p>
    <w:p w14:paraId="39369161"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参数分析</w:t>
      </w:r>
    </w:p>
    <w:p w14:paraId="3413BD9F"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44770" cy="2149475"/>
            <wp:effectExtent l="0" t="0" r="11430" b="9525"/>
            <wp:docPr id="21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214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5B0EEA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嵌入维度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随着维度的增加，模型预测的AUC持续上升。当维度达到 1778 时，结果得到了极大的改善。我们推测更大的特征维度提供了更多的信息，但是特征维度的持续增加实际上会增加噪声并导致性能下降，以及引入计算复杂度和时间开销等问题。</w:t>
      </w:r>
    </w:p>
    <w:p w14:paraId="6490CE14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MLP层数：</w:t>
      </w:r>
      <w:r>
        <w:rPr>
          <w:rFonts w:hint="default"/>
          <w:lang w:val="en-US" w:eastAsia="zh-CN"/>
        </w:rPr>
        <w:t>在保持其他参数不变的情况下，从2到5进行调整。</w:t>
      </w:r>
      <w:r>
        <w:rPr>
          <w:rFonts w:hint="eastAsia"/>
          <w:lang w:val="en-US" w:eastAsia="zh-CN"/>
        </w:rPr>
        <w:t>图中</w:t>
      </w:r>
      <w:r>
        <w:rPr>
          <w:rFonts w:hint="default"/>
          <w:lang w:val="en-US" w:eastAsia="zh-CN"/>
        </w:rPr>
        <w:t>显示了对这些参数获得的实验结果。随着隐藏层数量的增加，模型性能得到改善。然而，随着数量的继续增加，由于过拟合，性能下降。因此，我们设置MLP的数量为4</w:t>
      </w:r>
    </w:p>
    <w:p w14:paraId="7304CB2D"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消融实验</w:t>
      </w:r>
    </w:p>
    <w:p w14:paraId="215D25BC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不同的特征融合策略，包括基于平均值的特征融合策略（Fave）、基于点积的特征融合策略（Fdot）、基于图卷积神经网络（GCN）的特征融合策略（Fgcn）、在多尺度注意力特征融合模块中去除全局特征的策略（Flf）以及直接拼接特征融合策略（Fcat）。表6和图4A显示了不同特征融合策略的预测性能，其中我们的多尺度注意力特征融合模块（MUSCLE）取得了最佳性能。这种适当的特征融合策略使模型能够对潜在MDA具有更强的分类性能。</w:t>
      </w:r>
    </w:p>
    <w:p w14:paraId="3BFA2268">
      <w:pPr>
        <w:ind w:firstLine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01590" cy="2211705"/>
            <wp:effectExtent l="0" t="0" r="3810" b="10795"/>
            <wp:docPr id="2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1590" cy="2211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13E0C8">
      <w:pPr>
        <w:ind w:firstLine="420" w:firstLineChars="0"/>
        <w:rPr>
          <w:rFonts w:hint="default"/>
          <w:lang w:val="en-US" w:eastAsia="zh-CN"/>
        </w:rPr>
      </w:pPr>
    </w:p>
    <w:p w14:paraId="003AB490">
      <w:pPr>
        <w:ind w:firstLine="420" w:firstLineChars="0"/>
        <w:rPr>
          <w:rFonts w:hint="default"/>
          <w:lang w:val="en-US" w:eastAsia="zh-CN"/>
        </w:rPr>
      </w:pPr>
    </w:p>
    <w:p w14:paraId="6E55550A">
      <w:pPr>
        <w:ind w:firstLine="420" w:firstLineChars="0"/>
        <w:rPr>
          <w:rFonts w:hint="default"/>
          <w:lang w:val="en-US" w:eastAsia="zh-CN"/>
        </w:rPr>
      </w:pPr>
    </w:p>
    <w:p w14:paraId="3957238F">
      <w:pPr>
        <w:ind w:firstLine="420" w:firstLineChars="0"/>
        <w:rPr>
          <w:rFonts w:hint="default"/>
          <w:lang w:val="en-US" w:eastAsia="zh-CN"/>
        </w:rPr>
      </w:pPr>
    </w:p>
    <w:p w14:paraId="7BFDFC16">
      <w:pPr>
        <w:rPr>
          <w:rFonts w:hint="eastAsia"/>
        </w:rPr>
      </w:pPr>
      <w:r>
        <w:rPr>
          <w:rStyle w:val="9"/>
          <w:rFonts w:hint="eastAsia"/>
        </w:rPr>
        <w:t>实验结论</w:t>
      </w:r>
      <w:r>
        <w:rPr>
          <w:rFonts w:hint="eastAsia"/>
        </w:rPr>
        <w:tab/>
      </w:r>
    </w:p>
    <w:p w14:paraId="0817FEC3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71110" cy="1156335"/>
            <wp:effectExtent l="0" t="0" r="8890" b="12065"/>
            <wp:docPr id="23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1156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F6E0F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我们方法的表现提升归功于两个因素。首先，信息量的增长提供了更多的方式来表征 miRNA 和疾病，从而帮助预测模型做出更准确的决策。其次，算法的改进使表征更加合理，并且可以从多个角度让预测模型从表征中获益更多。</w:t>
      </w:r>
    </w:p>
    <w:p w14:paraId="2129AE9E">
      <w:pPr>
        <w:ind w:firstLine="420" w:firstLineChars="0"/>
        <w:rPr>
          <w:rFonts w:hint="eastAsia"/>
          <w:lang w:val="en-US" w:eastAsia="zh-CN"/>
        </w:rPr>
      </w:pPr>
    </w:p>
    <w:p w14:paraId="3C8F679B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项工作中，我们提出了一种计算方法（MUSCLE）来预测潜在的miRNA-疾病关联。首先，MUSCLE从miRNA与各种生物大分子之间的关系的整体视角出发，构建了多视图图，包括基于miRNA-药物-疾病、miRNA-mRNA-疾病和miRNA-lncRNA-疾病的关联图。然后，图注意力网络被用来为每个视图获取图拓扑特征。其次，MUSCLE有效地融合了多个图拓扑特征。此外，MUSCLE还同时考虑了miRNA和疾病 的先验属性知识，以获得更好的预测结果并解决冷启动问题。最后，学习到的表示被连接起来，并馈入MLP进行端到端训练和预测。为了评估MUSCLE的能力，我们分别进行了5-和10-折交叉验证实验。MUSCLE优于大多数当前最先进的模型。进一步的消融实验验证了我们特征组合和融合策略的有效性。</w:t>
      </w:r>
    </w:p>
    <w:p w14:paraId="28879ADE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模型改进</w:t>
      </w:r>
      <w:r>
        <w:rPr>
          <w:rFonts w:hint="eastAsia"/>
          <w:lang w:val="en-US" w:eastAsia="zh-CN"/>
        </w:rPr>
        <w:tab/>
      </w:r>
    </w:p>
    <w:p w14:paraId="70E5CF92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此外，我们的方法仍然有很大的潜力可以改进一般化。例如，我们的方法可以扩展到一个多分类模型，它同时学习和预测多个MDA。此外，代谢组学</w:t>
      </w:r>
      <w:bookmarkStart w:id="0" w:name="_GoBack"/>
      <w:bookmarkEnd w:id="0"/>
      <w:r>
        <w:rPr>
          <w:rFonts w:hint="default"/>
          <w:lang w:val="en-US" w:eastAsia="zh-CN"/>
        </w:rPr>
        <w:t>信息、单细胞测序和空间转录组数据可以与miRNA和某些特定疾病联系起来。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A0NjJiNGFhNjk4NjMzMTk5YjVjOTI2ZGUzYTNjYjUifQ=="/>
  </w:docVars>
  <w:rsids>
    <w:rsidRoot w:val="00000000"/>
    <w:rsid w:val="1DD475CB"/>
    <w:rsid w:val="2EC61555"/>
    <w:rsid w:val="452D3C87"/>
    <w:rsid w:val="5CBD2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link w:val="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0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customStyle="1" w:styleId="9">
    <w:name w:val="标题 2 Char"/>
    <w:link w:val="3"/>
    <w:uiPriority w:val="0"/>
    <w:rPr>
      <w:rFonts w:ascii="Arial" w:hAnsi="Arial" w:eastAsia="黑体"/>
      <w:b/>
      <w:sz w:val="32"/>
    </w:rPr>
  </w:style>
  <w:style w:type="character" w:customStyle="1" w:styleId="10">
    <w:name w:val="标题 3 Char"/>
    <w:link w:val="4"/>
    <w:uiPriority w:val="0"/>
    <w:rPr>
      <w:b/>
      <w:sz w:val="32"/>
    </w:rPr>
  </w:style>
  <w:style w:type="character" w:customStyle="1" w:styleId="11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390</Words>
  <Characters>781</Characters>
  <Lines>0</Lines>
  <Paragraphs>0</Paragraphs>
  <TotalTime>108</TotalTime>
  <ScaleCrop>false</ScaleCrop>
  <LinksUpToDate>false</LinksUpToDate>
  <CharactersWithSpaces>831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2024-09-29T14:53:00Z</dcterms:created>
  <dc:creator>MountainMist</dc:creator>
  <cp:lastModifiedBy>岚山风</cp:lastModifiedBy>
  <dcterms:modified xsi:type="dcterms:W3CDTF">2024-10-07T08:50:54Z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68D2AEC3CFCB4363A2BEF24039AD40B0_12</vt:lpwstr>
  </property>
</Properties>
</file>