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10D79" w14:textId="77777777" w:rsidR="00D02F06" w:rsidRDefault="00D02F06">
      <w:pPr>
        <w:rPr>
          <w:rFonts w:ascii="Times New Roman" w:hAnsi="Times New Roman" w:cs="Times New Roman"/>
          <w:sz w:val="28"/>
          <w:szCs w:val="28"/>
          <w:lang w:val="en-IN"/>
        </w:rPr>
      </w:pPr>
      <w:r>
        <w:rPr>
          <w:rFonts w:ascii="Times New Roman" w:hAnsi="Times New Roman" w:cs="Times New Roman"/>
          <w:sz w:val="28"/>
          <w:szCs w:val="28"/>
          <w:lang w:val="en-IN"/>
        </w:rPr>
        <w:t>BASEL 3</w:t>
      </w:r>
    </w:p>
    <w:p w14:paraId="49C91A5E" w14:textId="6157D1D4" w:rsidR="002E0032" w:rsidRPr="00D02F06" w:rsidRDefault="00780F65">
      <w:pPr>
        <w:rPr>
          <w:rFonts w:ascii="Times New Roman" w:hAnsi="Times New Roman" w:cs="Times New Roman"/>
          <w:sz w:val="28"/>
          <w:szCs w:val="28"/>
          <w:lang w:val="en-IN"/>
        </w:rPr>
      </w:pPr>
      <w:r w:rsidRPr="00D02F06">
        <w:rPr>
          <w:rFonts w:ascii="Times New Roman" w:hAnsi="Times New Roman" w:cs="Times New Roman"/>
          <w:sz w:val="28"/>
          <w:szCs w:val="28"/>
          <w:lang w:val="en-IN"/>
        </w:rPr>
        <w:t xml:space="preserve">Basel is a name of city in </w:t>
      </w:r>
      <w:r w:rsidR="00D02F06" w:rsidRPr="00D02F06">
        <w:rPr>
          <w:rFonts w:ascii="Times New Roman" w:hAnsi="Times New Roman" w:cs="Times New Roman"/>
          <w:sz w:val="28"/>
          <w:szCs w:val="28"/>
          <w:lang w:val="en-IN"/>
        </w:rPr>
        <w:t>Switzerland where</w:t>
      </w:r>
      <w:r w:rsidR="002E0032" w:rsidRPr="00D02F06">
        <w:rPr>
          <w:rFonts w:ascii="Times New Roman" w:hAnsi="Times New Roman" w:cs="Times New Roman"/>
          <w:sz w:val="28"/>
          <w:szCs w:val="28"/>
          <w:lang w:val="en-IN"/>
        </w:rPr>
        <w:t xml:space="preserve"> a biggest financial inst</w:t>
      </w:r>
      <w:r w:rsidR="00D02F06">
        <w:rPr>
          <w:rFonts w:ascii="Times New Roman" w:hAnsi="Times New Roman" w:cs="Times New Roman"/>
          <w:sz w:val="28"/>
          <w:szCs w:val="28"/>
          <w:lang w:val="en-IN"/>
        </w:rPr>
        <w:t>itu</w:t>
      </w:r>
      <w:r w:rsidR="002E0032" w:rsidRPr="00D02F06">
        <w:rPr>
          <w:rFonts w:ascii="Times New Roman" w:hAnsi="Times New Roman" w:cs="Times New Roman"/>
          <w:sz w:val="28"/>
          <w:szCs w:val="28"/>
          <w:lang w:val="en-IN"/>
        </w:rPr>
        <w:t xml:space="preserve">tion was set up named banking for international </w:t>
      </w:r>
      <w:r w:rsidR="00D02F06" w:rsidRPr="00D02F06">
        <w:rPr>
          <w:rFonts w:ascii="Times New Roman" w:hAnsi="Times New Roman" w:cs="Times New Roman"/>
          <w:sz w:val="28"/>
          <w:szCs w:val="28"/>
          <w:lang w:val="en-IN"/>
        </w:rPr>
        <w:t>settlement.</w:t>
      </w:r>
      <w:r w:rsidR="002E0032" w:rsidRPr="00D02F06">
        <w:rPr>
          <w:rFonts w:ascii="Times New Roman" w:hAnsi="Times New Roman" w:cs="Times New Roman"/>
          <w:sz w:val="28"/>
          <w:szCs w:val="28"/>
          <w:lang w:val="en-IN"/>
        </w:rPr>
        <w:t xml:space="preserve"> </w:t>
      </w:r>
      <w:r w:rsidR="00D02F06" w:rsidRPr="00D02F06">
        <w:rPr>
          <w:rFonts w:ascii="Times New Roman" w:hAnsi="Times New Roman" w:cs="Times New Roman"/>
          <w:sz w:val="28"/>
          <w:szCs w:val="28"/>
          <w:lang w:val="en-IN"/>
        </w:rPr>
        <w:t>so,</w:t>
      </w:r>
      <w:r w:rsidR="002E0032" w:rsidRPr="00D02F06">
        <w:rPr>
          <w:rFonts w:ascii="Times New Roman" w:hAnsi="Times New Roman" w:cs="Times New Roman"/>
          <w:sz w:val="28"/>
          <w:szCs w:val="28"/>
          <w:lang w:val="en-IN"/>
        </w:rPr>
        <w:t xml:space="preserve"> 1930 there was a banking failure that had </w:t>
      </w:r>
      <w:r w:rsidR="00D02F06" w:rsidRPr="00D02F06">
        <w:rPr>
          <w:rFonts w:ascii="Times New Roman" w:hAnsi="Times New Roman" w:cs="Times New Roman"/>
          <w:sz w:val="28"/>
          <w:szCs w:val="28"/>
          <w:lang w:val="en-IN"/>
        </w:rPr>
        <w:t>happened.</w:t>
      </w:r>
      <w:r w:rsidR="002E0032" w:rsidRPr="00D02F06">
        <w:rPr>
          <w:rFonts w:ascii="Times New Roman" w:hAnsi="Times New Roman" w:cs="Times New Roman"/>
          <w:sz w:val="28"/>
          <w:szCs w:val="28"/>
          <w:lang w:val="en-IN"/>
        </w:rPr>
        <w:t xml:space="preserve"> </w:t>
      </w:r>
      <w:r w:rsidR="00D02F06" w:rsidRPr="00D02F06">
        <w:rPr>
          <w:rFonts w:ascii="Times New Roman" w:hAnsi="Times New Roman" w:cs="Times New Roman"/>
          <w:sz w:val="28"/>
          <w:szCs w:val="28"/>
          <w:lang w:val="en-IN"/>
        </w:rPr>
        <w:t>so,</w:t>
      </w:r>
      <w:r w:rsidR="002E0032" w:rsidRPr="00D02F06">
        <w:rPr>
          <w:rFonts w:ascii="Times New Roman" w:hAnsi="Times New Roman" w:cs="Times New Roman"/>
          <w:sz w:val="28"/>
          <w:szCs w:val="28"/>
          <w:lang w:val="en-IN"/>
        </w:rPr>
        <w:t xml:space="preserve"> comity was formed with the </w:t>
      </w:r>
      <w:r w:rsidR="00D02F06" w:rsidRPr="00D02F06">
        <w:rPr>
          <w:rFonts w:ascii="Times New Roman" w:hAnsi="Times New Roman" w:cs="Times New Roman"/>
          <w:sz w:val="28"/>
          <w:szCs w:val="28"/>
          <w:lang w:val="en-IN"/>
        </w:rPr>
        <w:t>governors</w:t>
      </w:r>
      <w:r w:rsidR="002E0032" w:rsidRPr="00D02F06">
        <w:rPr>
          <w:rFonts w:ascii="Times New Roman" w:hAnsi="Times New Roman" w:cs="Times New Roman"/>
          <w:sz w:val="28"/>
          <w:szCs w:val="28"/>
          <w:lang w:val="en-IN"/>
        </w:rPr>
        <w:t xml:space="preserve"> of 10 central banks -1974 (BCBS – BAZIL COMMITY ON BANKING </w:t>
      </w:r>
      <w:r w:rsidR="00D02F06" w:rsidRPr="00D02F06">
        <w:rPr>
          <w:rFonts w:ascii="Times New Roman" w:hAnsi="Times New Roman" w:cs="Times New Roman"/>
          <w:sz w:val="28"/>
          <w:szCs w:val="28"/>
          <w:lang w:val="en-IN"/>
        </w:rPr>
        <w:t>SUPERVISION)</w:t>
      </w:r>
      <w:r w:rsidR="002E0032" w:rsidRPr="00D02F06">
        <w:rPr>
          <w:rFonts w:ascii="Times New Roman" w:hAnsi="Times New Roman" w:cs="Times New Roman"/>
          <w:sz w:val="28"/>
          <w:szCs w:val="28"/>
          <w:lang w:val="en-IN"/>
        </w:rPr>
        <w:t xml:space="preserve"> Tha main objective of this </w:t>
      </w:r>
      <w:r w:rsidR="00D02F06" w:rsidRPr="00D02F06">
        <w:rPr>
          <w:rFonts w:ascii="Times New Roman" w:hAnsi="Times New Roman" w:cs="Times New Roman"/>
          <w:sz w:val="28"/>
          <w:szCs w:val="28"/>
          <w:lang w:val="en-IN"/>
        </w:rPr>
        <w:t>committee</w:t>
      </w:r>
      <w:r w:rsidR="002E0032" w:rsidRPr="00D02F06">
        <w:rPr>
          <w:rFonts w:ascii="Times New Roman" w:hAnsi="Times New Roman" w:cs="Times New Roman"/>
          <w:sz w:val="28"/>
          <w:szCs w:val="28"/>
          <w:lang w:val="en-IN"/>
        </w:rPr>
        <w:t xml:space="preserve"> is was to ensure that banks have enough capital so that they can </w:t>
      </w:r>
      <w:r w:rsidR="00D02F06" w:rsidRPr="00D02F06">
        <w:rPr>
          <w:rFonts w:ascii="Times New Roman" w:hAnsi="Times New Roman" w:cs="Times New Roman"/>
          <w:sz w:val="28"/>
          <w:szCs w:val="28"/>
          <w:lang w:val="en-IN"/>
        </w:rPr>
        <w:t>observe</w:t>
      </w:r>
      <w:r w:rsidR="002E0032" w:rsidRPr="00D02F06">
        <w:rPr>
          <w:rFonts w:ascii="Times New Roman" w:hAnsi="Times New Roman" w:cs="Times New Roman"/>
          <w:sz w:val="28"/>
          <w:szCs w:val="28"/>
          <w:lang w:val="en-IN"/>
        </w:rPr>
        <w:t xml:space="preserve"> any type of losses of shocks that may raise in </w:t>
      </w:r>
      <w:r w:rsidR="00D02F06" w:rsidRPr="00D02F06">
        <w:rPr>
          <w:rFonts w:ascii="Times New Roman" w:hAnsi="Times New Roman" w:cs="Times New Roman"/>
          <w:sz w:val="28"/>
          <w:szCs w:val="28"/>
          <w:lang w:val="en-IN"/>
        </w:rPr>
        <w:t>future.</w:t>
      </w:r>
      <w:r w:rsidR="002E0032" w:rsidRPr="00D02F06">
        <w:rPr>
          <w:rFonts w:ascii="Times New Roman" w:hAnsi="Times New Roman" w:cs="Times New Roman"/>
          <w:sz w:val="28"/>
          <w:szCs w:val="28"/>
          <w:lang w:val="en-IN"/>
        </w:rPr>
        <w:t xml:space="preserve"> then this </w:t>
      </w:r>
      <w:r w:rsidR="00D02F06" w:rsidRPr="00D02F06">
        <w:rPr>
          <w:rFonts w:ascii="Times New Roman" w:hAnsi="Times New Roman" w:cs="Times New Roman"/>
          <w:sz w:val="28"/>
          <w:szCs w:val="28"/>
          <w:lang w:val="en-IN"/>
        </w:rPr>
        <w:t>committee</w:t>
      </w:r>
      <w:r w:rsidR="002E0032" w:rsidRPr="00D02F06">
        <w:rPr>
          <w:rFonts w:ascii="Times New Roman" w:hAnsi="Times New Roman" w:cs="Times New Roman"/>
          <w:sz w:val="28"/>
          <w:szCs w:val="28"/>
          <w:lang w:val="en-IN"/>
        </w:rPr>
        <w:t xml:space="preserve"> got expanded to 45 other </w:t>
      </w:r>
      <w:r w:rsidR="00D02F06" w:rsidRPr="00D02F06">
        <w:rPr>
          <w:rFonts w:ascii="Times New Roman" w:hAnsi="Times New Roman" w:cs="Times New Roman"/>
          <w:sz w:val="28"/>
          <w:szCs w:val="28"/>
          <w:lang w:val="en-IN"/>
        </w:rPr>
        <w:t>institutions. this</w:t>
      </w:r>
      <w:r w:rsidR="002E0032" w:rsidRPr="00D02F06">
        <w:rPr>
          <w:rFonts w:ascii="Times New Roman" w:hAnsi="Times New Roman" w:cs="Times New Roman"/>
          <w:sz w:val="28"/>
          <w:szCs w:val="28"/>
          <w:lang w:val="en-IN"/>
        </w:rPr>
        <w:t xml:space="preserve"> </w:t>
      </w:r>
      <w:r w:rsidR="00D02F06" w:rsidRPr="00D02F06">
        <w:rPr>
          <w:rFonts w:ascii="Times New Roman" w:hAnsi="Times New Roman" w:cs="Times New Roman"/>
          <w:sz w:val="28"/>
          <w:szCs w:val="28"/>
          <w:lang w:val="en-IN"/>
        </w:rPr>
        <w:t>committee</w:t>
      </w:r>
      <w:r w:rsidR="002E0032" w:rsidRPr="00D02F06">
        <w:rPr>
          <w:rFonts w:ascii="Times New Roman" w:hAnsi="Times New Roman" w:cs="Times New Roman"/>
          <w:sz w:val="28"/>
          <w:szCs w:val="28"/>
          <w:lang w:val="en-IN"/>
        </w:rPr>
        <w:t xml:space="preserve"> also </w:t>
      </w:r>
      <w:r w:rsidR="00D02F06" w:rsidRPr="00D02F06">
        <w:rPr>
          <w:rFonts w:ascii="Times New Roman" w:hAnsi="Times New Roman" w:cs="Times New Roman"/>
          <w:sz w:val="28"/>
          <w:szCs w:val="28"/>
          <w:lang w:val="en-IN"/>
        </w:rPr>
        <w:t>discussed</w:t>
      </w:r>
      <w:r w:rsidR="002E0032" w:rsidRPr="00D02F06">
        <w:rPr>
          <w:rFonts w:ascii="Times New Roman" w:hAnsi="Times New Roman" w:cs="Times New Roman"/>
          <w:sz w:val="28"/>
          <w:szCs w:val="28"/>
          <w:lang w:val="en-IN"/>
        </w:rPr>
        <w:t xml:space="preserve"> about </w:t>
      </w:r>
      <w:r w:rsidR="00D02F06" w:rsidRPr="00D02F06">
        <w:rPr>
          <w:rFonts w:ascii="Times New Roman" w:hAnsi="Times New Roman" w:cs="Times New Roman"/>
          <w:sz w:val="28"/>
          <w:szCs w:val="28"/>
          <w:lang w:val="en-IN"/>
        </w:rPr>
        <w:t>another</w:t>
      </w:r>
      <w:r w:rsidR="002E0032" w:rsidRPr="00D02F06">
        <w:rPr>
          <w:rFonts w:ascii="Times New Roman" w:hAnsi="Times New Roman" w:cs="Times New Roman"/>
          <w:sz w:val="28"/>
          <w:szCs w:val="28"/>
          <w:lang w:val="en-IN"/>
        </w:rPr>
        <w:t xml:space="preserve"> </w:t>
      </w:r>
      <w:r w:rsidR="00D02F06" w:rsidRPr="00D02F06">
        <w:rPr>
          <w:rFonts w:ascii="Times New Roman" w:hAnsi="Times New Roman" w:cs="Times New Roman"/>
          <w:sz w:val="28"/>
          <w:szCs w:val="28"/>
          <w:lang w:val="en-IN"/>
        </w:rPr>
        <w:t>important</w:t>
      </w:r>
      <w:r w:rsidR="002E0032" w:rsidRPr="00D02F06">
        <w:rPr>
          <w:rFonts w:ascii="Times New Roman" w:hAnsi="Times New Roman" w:cs="Times New Roman"/>
          <w:sz w:val="28"/>
          <w:szCs w:val="28"/>
          <w:lang w:val="en-IN"/>
        </w:rPr>
        <w:t xml:space="preserve"> concept </w:t>
      </w:r>
    </w:p>
    <w:p w14:paraId="35610BFE" w14:textId="1555869D" w:rsidR="002E0032" w:rsidRPr="00D02F06" w:rsidRDefault="00D02F06">
      <w:pPr>
        <w:rPr>
          <w:rFonts w:ascii="Times New Roman" w:hAnsi="Times New Roman" w:cs="Times New Roman"/>
          <w:sz w:val="28"/>
          <w:szCs w:val="28"/>
          <w:lang w:val="en-IN"/>
        </w:rPr>
      </w:pPr>
      <w:r>
        <w:rPr>
          <w:rFonts w:ascii="Times New Roman" w:hAnsi="Times New Roman" w:cs="Times New Roman"/>
          <w:sz w:val="28"/>
          <w:szCs w:val="28"/>
          <w:lang w:val="en-IN"/>
        </w:rPr>
        <w:t>RAW</w:t>
      </w:r>
      <w:r w:rsidR="002E0032" w:rsidRPr="00D02F06">
        <w:rPr>
          <w:rFonts w:ascii="Times New Roman" w:hAnsi="Times New Roman" w:cs="Times New Roman"/>
          <w:sz w:val="28"/>
          <w:szCs w:val="28"/>
          <w:lang w:val="en-IN"/>
        </w:rPr>
        <w:t xml:space="preserve">- main asset of bank is </w:t>
      </w:r>
      <w:r w:rsidRPr="00D02F06">
        <w:rPr>
          <w:rFonts w:ascii="Times New Roman" w:hAnsi="Times New Roman" w:cs="Times New Roman"/>
          <w:sz w:val="28"/>
          <w:szCs w:val="28"/>
          <w:lang w:val="en-IN"/>
        </w:rPr>
        <w:t>loan, but</w:t>
      </w:r>
      <w:r w:rsidR="002E0032" w:rsidRPr="00D02F06">
        <w:rPr>
          <w:rFonts w:ascii="Times New Roman" w:hAnsi="Times New Roman" w:cs="Times New Roman"/>
          <w:sz w:val="28"/>
          <w:szCs w:val="28"/>
          <w:lang w:val="en-IN"/>
        </w:rPr>
        <w:t xml:space="preserve"> in the prosses of giving loan the </w:t>
      </w:r>
      <w:r w:rsidRPr="00D02F06">
        <w:rPr>
          <w:rFonts w:ascii="Times New Roman" w:hAnsi="Times New Roman" w:cs="Times New Roman"/>
          <w:sz w:val="28"/>
          <w:szCs w:val="28"/>
          <w:lang w:val="en-IN"/>
        </w:rPr>
        <w:t>borrowers</w:t>
      </w:r>
      <w:r w:rsidR="002E0032" w:rsidRPr="00D02F06">
        <w:rPr>
          <w:rFonts w:ascii="Times New Roman" w:hAnsi="Times New Roman" w:cs="Times New Roman"/>
          <w:sz w:val="28"/>
          <w:szCs w:val="28"/>
          <w:lang w:val="en-IN"/>
        </w:rPr>
        <w:t xml:space="preserve"> of loan may default it so that the credit risk of bank may increase</w:t>
      </w:r>
      <w:r w:rsidR="00FD3C76" w:rsidRPr="00D02F06">
        <w:rPr>
          <w:rFonts w:ascii="Times New Roman" w:hAnsi="Times New Roman" w:cs="Times New Roman"/>
          <w:sz w:val="28"/>
          <w:szCs w:val="28"/>
          <w:lang w:val="en-IN"/>
        </w:rPr>
        <w:t xml:space="preserve">. </w:t>
      </w:r>
      <w:r w:rsidRPr="00D02F06">
        <w:rPr>
          <w:rFonts w:ascii="Times New Roman" w:hAnsi="Times New Roman" w:cs="Times New Roman"/>
          <w:sz w:val="28"/>
          <w:szCs w:val="28"/>
          <w:lang w:val="en-IN"/>
        </w:rPr>
        <w:t>So,</w:t>
      </w:r>
      <w:r w:rsidR="00FD3C76" w:rsidRPr="00D02F06">
        <w:rPr>
          <w:rFonts w:ascii="Times New Roman" w:hAnsi="Times New Roman" w:cs="Times New Roman"/>
          <w:sz w:val="28"/>
          <w:szCs w:val="28"/>
          <w:lang w:val="en-IN"/>
        </w:rPr>
        <w:t xml:space="preserve"> it has given different weightage to different loans</w:t>
      </w:r>
      <w:r w:rsidR="002E0032" w:rsidRPr="00D02F06">
        <w:rPr>
          <w:rFonts w:ascii="Times New Roman" w:hAnsi="Times New Roman" w:cs="Times New Roman"/>
          <w:sz w:val="28"/>
          <w:szCs w:val="28"/>
          <w:lang w:val="en-IN"/>
        </w:rPr>
        <w:t xml:space="preserve"> </w:t>
      </w:r>
      <w:r w:rsidR="00FD3C76" w:rsidRPr="00D02F06">
        <w:rPr>
          <w:rFonts w:ascii="Times New Roman" w:hAnsi="Times New Roman" w:cs="Times New Roman"/>
          <w:sz w:val="28"/>
          <w:szCs w:val="28"/>
          <w:lang w:val="en-IN"/>
        </w:rPr>
        <w:t xml:space="preserve">criteria so that if there is any loss then the bank can use this </w:t>
      </w:r>
      <w:r w:rsidRPr="00D02F06">
        <w:rPr>
          <w:rFonts w:ascii="Times New Roman" w:hAnsi="Times New Roman" w:cs="Times New Roman"/>
          <w:sz w:val="28"/>
          <w:szCs w:val="28"/>
          <w:lang w:val="en-IN"/>
        </w:rPr>
        <w:t>money. this</w:t>
      </w:r>
      <w:r w:rsidR="00FD3C76" w:rsidRPr="00D02F06">
        <w:rPr>
          <w:rFonts w:ascii="Times New Roman" w:hAnsi="Times New Roman" w:cs="Times New Roman"/>
          <w:sz w:val="28"/>
          <w:szCs w:val="28"/>
          <w:lang w:val="en-IN"/>
        </w:rPr>
        <w:t xml:space="preserve"> amount that is kept a side for risk management in future is known as capital </w:t>
      </w:r>
      <w:r w:rsidRPr="00D02F06">
        <w:rPr>
          <w:rFonts w:ascii="Times New Roman" w:hAnsi="Times New Roman" w:cs="Times New Roman"/>
          <w:sz w:val="28"/>
          <w:szCs w:val="28"/>
          <w:lang w:val="en-IN"/>
        </w:rPr>
        <w:t>adequacy</w:t>
      </w:r>
      <w:r w:rsidR="00FD3C76" w:rsidRPr="00D02F06">
        <w:rPr>
          <w:rFonts w:ascii="Times New Roman" w:hAnsi="Times New Roman" w:cs="Times New Roman"/>
          <w:sz w:val="28"/>
          <w:szCs w:val="28"/>
          <w:lang w:val="en-IN"/>
        </w:rPr>
        <w:t xml:space="preserve"> </w:t>
      </w:r>
      <w:r w:rsidRPr="00D02F06">
        <w:rPr>
          <w:rFonts w:ascii="Times New Roman" w:hAnsi="Times New Roman" w:cs="Times New Roman"/>
          <w:sz w:val="28"/>
          <w:szCs w:val="28"/>
          <w:lang w:val="en-IN"/>
        </w:rPr>
        <w:t>ratio.</w:t>
      </w:r>
      <w:r w:rsidR="00FD3C76" w:rsidRPr="00D02F06">
        <w:rPr>
          <w:rFonts w:ascii="Times New Roman" w:hAnsi="Times New Roman" w:cs="Times New Roman"/>
          <w:sz w:val="28"/>
          <w:szCs w:val="28"/>
          <w:lang w:val="en-IN"/>
        </w:rPr>
        <w:t xml:space="preserve"> according to BIS it is 8% but according to the central bank it is 9%.</w:t>
      </w:r>
    </w:p>
    <w:p w14:paraId="124858FC" w14:textId="420B1080" w:rsidR="00FD3C76" w:rsidRPr="00D02F06" w:rsidRDefault="00924E6D" w:rsidP="00C216F8">
      <w:pPr>
        <w:tabs>
          <w:tab w:val="left" w:pos="6072"/>
        </w:tabs>
        <w:rPr>
          <w:rFonts w:ascii="Times New Roman" w:hAnsi="Times New Roman" w:cs="Times New Roman"/>
          <w:sz w:val="28"/>
          <w:szCs w:val="28"/>
          <w:lang w:val="en-IN"/>
        </w:rPr>
      </w:pPr>
      <w:r w:rsidRPr="00D02F06">
        <w:rPr>
          <w:rFonts w:ascii="Times New Roman" w:hAnsi="Times New Roman" w:cs="Times New Roman"/>
          <w:noProof/>
          <w:sz w:val="28"/>
          <w:szCs w:val="28"/>
          <w:lang w:val="en-IN"/>
        </w:rPr>
        <mc:AlternateContent>
          <mc:Choice Requires="wps">
            <w:drawing>
              <wp:anchor distT="0" distB="0" distL="114300" distR="114300" simplePos="0" relativeHeight="251662336" behindDoc="0" locked="0" layoutInCell="1" allowOverlap="1" wp14:anchorId="6B465A15" wp14:editId="7A0760B9">
                <wp:simplePos x="0" y="0"/>
                <wp:positionH relativeFrom="column">
                  <wp:posOffset>2887980</wp:posOffset>
                </wp:positionH>
                <wp:positionV relativeFrom="paragraph">
                  <wp:posOffset>1521460</wp:posOffset>
                </wp:positionV>
                <wp:extent cx="624840" cy="419100"/>
                <wp:effectExtent l="0" t="0" r="80010" b="57150"/>
                <wp:wrapNone/>
                <wp:docPr id="5" name="Straight Arrow Connector 5"/>
                <wp:cNvGraphicFramePr/>
                <a:graphic xmlns:a="http://schemas.openxmlformats.org/drawingml/2006/main">
                  <a:graphicData uri="http://schemas.microsoft.com/office/word/2010/wordprocessingShape">
                    <wps:wsp>
                      <wps:cNvCnPr/>
                      <wps:spPr>
                        <a:xfrm>
                          <a:off x="0" y="0"/>
                          <a:ext cx="6248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EA727" id="_x0000_t32" coordsize="21600,21600" o:spt="32" o:oned="t" path="m,l21600,21600e" filled="f">
                <v:path arrowok="t" fillok="f" o:connecttype="none"/>
                <o:lock v:ext="edit" shapetype="t"/>
              </v:shapetype>
              <v:shape id="Straight Arrow Connector 5" o:spid="_x0000_s1026" type="#_x0000_t32" style="position:absolute;margin-left:227.4pt;margin-top:119.8pt;width:49.2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" strokecolor="#4472c4 [3204]" strokeweight=".5pt">
                <v:stroke endarrow="block" joinstyle="miter"/>
              </v:shape>
            </w:pict>
          </mc:Fallback>
        </mc:AlternateContent>
      </w:r>
      <w:r w:rsidRPr="00D02F06">
        <w:rPr>
          <w:rFonts w:ascii="Times New Roman" w:hAnsi="Times New Roman" w:cs="Times New Roman"/>
          <w:noProof/>
          <w:sz w:val="28"/>
          <w:szCs w:val="28"/>
          <w:lang w:val="en-IN"/>
        </w:rPr>
        <mc:AlternateContent>
          <mc:Choice Requires="wps">
            <w:drawing>
              <wp:anchor distT="0" distB="0" distL="114300" distR="114300" simplePos="0" relativeHeight="251660288" behindDoc="0" locked="0" layoutInCell="1" allowOverlap="1" wp14:anchorId="5973CD61" wp14:editId="327E4874">
                <wp:simplePos x="0" y="0"/>
                <wp:positionH relativeFrom="column">
                  <wp:posOffset>2887980</wp:posOffset>
                </wp:positionH>
                <wp:positionV relativeFrom="paragraph">
                  <wp:posOffset>713740</wp:posOffset>
                </wp:positionV>
                <wp:extent cx="594360" cy="396240"/>
                <wp:effectExtent l="0" t="38100" r="53340" b="22860"/>
                <wp:wrapNone/>
                <wp:docPr id="3" name="Straight Arrow Connector 3"/>
                <wp:cNvGraphicFramePr/>
                <a:graphic xmlns:a="http://schemas.openxmlformats.org/drawingml/2006/main">
                  <a:graphicData uri="http://schemas.microsoft.com/office/word/2010/wordprocessingShape">
                    <wps:wsp>
                      <wps:cNvCnPr/>
                      <wps:spPr>
                        <a:xfrm flipV="1">
                          <a:off x="0" y="0"/>
                          <a:ext cx="59436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13C2A" id="Straight Arrow Connector 3" o:spid="_x0000_s1026" type="#_x0000_t32" style="position:absolute;margin-left:227.4pt;margin-top:56.2pt;width:46.8pt;height:3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" strokecolor="#4472c4 [3204]" strokeweight=".5pt">
                <v:stroke endarrow="block" joinstyle="miter"/>
              </v:shape>
            </w:pict>
          </mc:Fallback>
        </mc:AlternateContent>
      </w:r>
      <w:r w:rsidR="00985447" w:rsidRPr="00D02F06">
        <w:rPr>
          <w:rFonts w:ascii="Times New Roman" w:hAnsi="Times New Roman" w:cs="Times New Roman"/>
          <w:noProof/>
          <w:sz w:val="28"/>
          <w:szCs w:val="28"/>
          <w:lang w:val="en-IN"/>
        </w:rPr>
        <mc:AlternateContent>
          <mc:Choice Requires="wps">
            <w:drawing>
              <wp:anchor distT="0" distB="0" distL="114300" distR="114300" simplePos="0" relativeHeight="251661312" behindDoc="0" locked="0" layoutInCell="1" allowOverlap="1" wp14:anchorId="2D30500E" wp14:editId="75F3D103">
                <wp:simplePos x="0" y="0"/>
                <wp:positionH relativeFrom="column">
                  <wp:posOffset>3528060</wp:posOffset>
                </wp:positionH>
                <wp:positionV relativeFrom="paragraph">
                  <wp:posOffset>1521460</wp:posOffset>
                </wp:positionV>
                <wp:extent cx="2072640" cy="4953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20726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FC8BAF" w14:textId="40395225" w:rsidR="00985447" w:rsidRPr="00985447" w:rsidRDefault="00985447" w:rsidP="00985447">
                            <w:pPr>
                              <w:jc w:val="center"/>
                              <w:rPr>
                                <w:lang w:val="en-IN"/>
                              </w:rPr>
                            </w:pPr>
                            <w:r>
                              <w:rPr>
                                <w:lang w:val="en-IN"/>
                              </w:rPr>
                              <w:t>Revaluation Reserve + Subordinate debt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30500E" id="Rectangle 4" o:spid="_x0000_s1026" style="position:absolute;margin-left:277.8pt;margin-top:119.8pt;width:163.2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" fillcolor="#4472c4 [3204]" strokecolor="#1f3763 [1604]" strokeweight="1pt">
                <v:textbox>
                  <w:txbxContent>
                    <w:p w14:paraId="46FC8BAF" w14:textId="40395225" w:rsidR="00985447" w:rsidRPr="00985447" w:rsidRDefault="00985447" w:rsidP="00985447">
                      <w:pPr>
                        <w:jc w:val="center"/>
                        <w:rPr>
                          <w:lang w:val="en-IN"/>
                        </w:rPr>
                      </w:pPr>
                      <w:r>
                        <w:rPr>
                          <w:lang w:val="en-IN"/>
                        </w:rPr>
                        <w:t>Revaluation Reserve + Subordinate debt</w:t>
                      </w:r>
                    </w:p>
                  </w:txbxContent>
                </v:textbox>
              </v:rect>
            </w:pict>
          </mc:Fallback>
        </mc:AlternateContent>
      </w:r>
      <w:r w:rsidR="00985447" w:rsidRPr="00D02F06">
        <w:rPr>
          <w:rFonts w:ascii="Times New Roman" w:hAnsi="Times New Roman" w:cs="Times New Roman"/>
          <w:noProof/>
          <w:sz w:val="28"/>
          <w:szCs w:val="28"/>
          <w:lang w:val="en-IN"/>
        </w:rPr>
        <mc:AlternateContent>
          <mc:Choice Requires="wps">
            <w:drawing>
              <wp:anchor distT="0" distB="0" distL="114300" distR="114300" simplePos="0" relativeHeight="251659264" behindDoc="0" locked="0" layoutInCell="1" allowOverlap="1" wp14:anchorId="7093B13C" wp14:editId="5024B57E">
                <wp:simplePos x="0" y="0"/>
                <wp:positionH relativeFrom="column">
                  <wp:posOffset>3512820</wp:posOffset>
                </wp:positionH>
                <wp:positionV relativeFrom="paragraph">
                  <wp:posOffset>370840</wp:posOffset>
                </wp:positionV>
                <wp:extent cx="1935480" cy="5181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9354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978C4" w14:textId="4D8075C6" w:rsidR="00985447" w:rsidRPr="00985447" w:rsidRDefault="00985447" w:rsidP="00985447">
                            <w:pPr>
                              <w:jc w:val="center"/>
                              <w:rPr>
                                <w:lang w:val="en-IN"/>
                              </w:rPr>
                            </w:pPr>
                            <w:r>
                              <w:rPr>
                                <w:lang w:val="en-IN"/>
                              </w:rPr>
                              <w:t>Share Capital +</w:t>
                            </w:r>
                            <w:r>
                              <w:rPr>
                                <w:lang w:val="en-IN"/>
                              </w:rPr>
                              <w:tab/>
                            </w:r>
                            <w:r w:rsidR="00D02F06">
                              <w:rPr>
                                <w:lang w:val="en-IN"/>
                              </w:rPr>
                              <w:t>Undistributed profit</w:t>
                            </w:r>
                            <w:r>
                              <w:rPr>
                                <w:lang w:val="en-IN"/>
                              </w:rPr>
                              <w:t xml:space="preserve"> + preference capital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3B13C" id="Rectangle 2" o:spid="_x0000_s1027" style="position:absolute;margin-left:276.6pt;margin-top:29.2pt;width:152.4pt;height:4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" fillcolor="#4472c4 [3204]" strokecolor="#1f3763 [1604]" strokeweight="1pt">
                <v:textbox>
                  <w:txbxContent>
                    <w:p w14:paraId="3A1978C4" w14:textId="4D8075C6" w:rsidR="00985447" w:rsidRPr="00985447" w:rsidRDefault="00985447" w:rsidP="00985447">
                      <w:pPr>
                        <w:jc w:val="center"/>
                        <w:rPr>
                          <w:lang w:val="en-IN"/>
                        </w:rPr>
                      </w:pPr>
                      <w:r>
                        <w:rPr>
                          <w:lang w:val="en-IN"/>
                        </w:rPr>
                        <w:t>Share Capital +</w:t>
                      </w:r>
                      <w:r>
                        <w:rPr>
                          <w:lang w:val="en-IN"/>
                        </w:rPr>
                        <w:tab/>
                      </w:r>
                      <w:r w:rsidR="00D02F06">
                        <w:rPr>
                          <w:lang w:val="en-IN"/>
                        </w:rPr>
                        <w:t>Undistributed profit</w:t>
                      </w:r>
                      <w:r>
                        <w:rPr>
                          <w:lang w:val="en-IN"/>
                        </w:rPr>
                        <w:t xml:space="preserve"> + preference capital</w:t>
                      </w:r>
                    </w:p>
                  </w:txbxContent>
                </v:textbox>
              </v:rect>
            </w:pict>
          </mc:Fallback>
        </mc:AlternateContent>
      </w:r>
      <w:r w:rsidR="00FD3C76" w:rsidRPr="00D02F06">
        <w:rPr>
          <w:rFonts w:ascii="Times New Roman" w:hAnsi="Times New Roman" w:cs="Times New Roman"/>
          <w:noProof/>
          <w:sz w:val="28"/>
          <w:szCs w:val="28"/>
          <w:lang w:val="en-IN"/>
        </w:rPr>
        <w:drawing>
          <wp:inline distT="0" distB="0" distL="0" distR="0" wp14:anchorId="62A2D38F" wp14:editId="5D610D72">
            <wp:extent cx="3512820" cy="256032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216F8" w:rsidRPr="00D02F06">
        <w:rPr>
          <w:rFonts w:ascii="Times New Roman" w:hAnsi="Times New Roman" w:cs="Times New Roman"/>
          <w:sz w:val="28"/>
          <w:szCs w:val="28"/>
          <w:lang w:val="en-IN"/>
        </w:rPr>
        <w:tab/>
      </w:r>
    </w:p>
    <w:p w14:paraId="4425984E" w14:textId="77777777" w:rsidR="00C216F8" w:rsidRPr="00C216F8" w:rsidRDefault="00C216F8" w:rsidP="00C216F8">
      <w:pPr>
        <w:tabs>
          <w:tab w:val="left" w:pos="6072"/>
        </w:tabs>
        <w:rPr>
          <w:rFonts w:ascii="Times New Roman" w:hAnsi="Times New Roman" w:cs="Times New Roman"/>
          <w:sz w:val="28"/>
          <w:szCs w:val="28"/>
        </w:rPr>
      </w:pPr>
      <w:r w:rsidRPr="00C216F8">
        <w:rPr>
          <w:rFonts w:ascii="Times New Roman" w:hAnsi="Times New Roman" w:cs="Times New Roman"/>
          <w:sz w:val="28"/>
          <w:szCs w:val="28"/>
        </w:rPr>
        <w:t>Basel III regulations are a set of international banking regulations developed by the Basel Committee on Banking Supervision (BCBS) to strengthen the regulation, supervision, and risk management of banks. These regulations aim to improve the banking sector's ability to deal with financial stress, improve risk management, and promote transparency.</w:t>
      </w:r>
    </w:p>
    <w:p w14:paraId="3D84DF9C" w14:textId="3950BA52" w:rsidR="00C216F8" w:rsidRPr="00D02F06" w:rsidRDefault="00C216F8" w:rsidP="00C216F8">
      <w:pPr>
        <w:tabs>
          <w:tab w:val="left" w:pos="6072"/>
        </w:tabs>
        <w:rPr>
          <w:rFonts w:ascii="Times New Roman" w:hAnsi="Times New Roman" w:cs="Times New Roman"/>
          <w:sz w:val="28"/>
          <w:szCs w:val="28"/>
        </w:rPr>
      </w:pPr>
      <w:r w:rsidRPr="00C216F8">
        <w:rPr>
          <w:rFonts w:ascii="Times New Roman" w:hAnsi="Times New Roman" w:cs="Times New Roman"/>
          <w:sz w:val="28"/>
          <w:szCs w:val="28"/>
        </w:rPr>
        <w:t xml:space="preserve">In the United States, the implementation of Basel III has been adapted to fit the U.S. banking system through rules and guidelines issued by federal banking </w:t>
      </w:r>
      <w:r w:rsidRPr="00C216F8">
        <w:rPr>
          <w:rFonts w:ascii="Times New Roman" w:hAnsi="Times New Roman" w:cs="Times New Roman"/>
          <w:sz w:val="28"/>
          <w:szCs w:val="28"/>
        </w:rPr>
        <w:lastRenderedPageBreak/>
        <w:t>regulators, such as the Federal Reserve, the Office of the Comptroller of the Currency (OCC), and the Federal Deposit Insurance Corporation (FDIC).</w:t>
      </w:r>
    </w:p>
    <w:p w14:paraId="69267E6F" w14:textId="098ED7FA" w:rsidR="00924E6D" w:rsidRPr="00D02F06" w:rsidRDefault="00924E6D">
      <w:pPr>
        <w:rPr>
          <w:rFonts w:ascii="Times New Roman" w:hAnsi="Times New Roman" w:cs="Times New Roman"/>
          <w:sz w:val="28"/>
          <w:szCs w:val="28"/>
          <w:lang w:val="en-IN"/>
        </w:rPr>
      </w:pPr>
      <w:r w:rsidRPr="00D02F06">
        <w:rPr>
          <w:rFonts w:ascii="Times New Roman" w:hAnsi="Times New Roman" w:cs="Times New Roman"/>
          <w:sz w:val="28"/>
          <w:szCs w:val="28"/>
          <w:lang w:val="en-IN"/>
        </w:rPr>
        <w:t>After the financial crises of 2008.the basil 3 vas introduced in 2010</w:t>
      </w:r>
    </w:p>
    <w:p w14:paraId="48005A33" w14:textId="632CA10E" w:rsidR="00924E6D" w:rsidRPr="00D02F06" w:rsidRDefault="00924E6D">
      <w:pPr>
        <w:rPr>
          <w:rFonts w:ascii="Times New Roman" w:hAnsi="Times New Roman" w:cs="Times New Roman"/>
          <w:sz w:val="28"/>
          <w:szCs w:val="28"/>
          <w:lang w:val="en-IN"/>
        </w:rPr>
      </w:pPr>
      <w:r w:rsidRPr="00D02F06">
        <w:rPr>
          <w:rFonts w:ascii="Times New Roman" w:hAnsi="Times New Roman" w:cs="Times New Roman"/>
          <w:sz w:val="28"/>
          <w:szCs w:val="28"/>
          <w:lang w:val="en-IN"/>
        </w:rPr>
        <w:t>Common equity-is increased to 4.5 % from 2%(basil2)</w:t>
      </w:r>
    </w:p>
    <w:p w14:paraId="422B7253" w14:textId="49760058" w:rsidR="00924E6D" w:rsidRPr="00D02F06" w:rsidRDefault="00D02F06">
      <w:pPr>
        <w:rPr>
          <w:rFonts w:ascii="Times New Roman" w:hAnsi="Times New Roman" w:cs="Times New Roman"/>
          <w:sz w:val="28"/>
          <w:szCs w:val="28"/>
          <w:lang w:val="en-IN"/>
        </w:rPr>
      </w:pPr>
      <w:r w:rsidRPr="00D02F06">
        <w:rPr>
          <w:rFonts w:ascii="Times New Roman" w:hAnsi="Times New Roman" w:cs="Times New Roman"/>
          <w:sz w:val="28"/>
          <w:szCs w:val="28"/>
          <w:lang w:val="en-IN"/>
        </w:rPr>
        <w:t>So,</w:t>
      </w:r>
      <w:r w:rsidR="00924E6D" w:rsidRPr="00D02F06">
        <w:rPr>
          <w:rFonts w:ascii="Times New Roman" w:hAnsi="Times New Roman" w:cs="Times New Roman"/>
          <w:sz w:val="28"/>
          <w:szCs w:val="28"/>
          <w:lang w:val="en-IN"/>
        </w:rPr>
        <w:t xml:space="preserve"> tier 1 </w:t>
      </w:r>
      <w:r w:rsidR="00B9798A" w:rsidRPr="00D02F06">
        <w:rPr>
          <w:rFonts w:ascii="Times New Roman" w:hAnsi="Times New Roman" w:cs="Times New Roman"/>
          <w:sz w:val="28"/>
          <w:szCs w:val="28"/>
          <w:lang w:val="en-IN"/>
        </w:rPr>
        <w:t xml:space="preserve">– </w:t>
      </w:r>
      <w:r w:rsidRPr="00D02F06">
        <w:rPr>
          <w:rFonts w:ascii="Times New Roman" w:hAnsi="Times New Roman" w:cs="Times New Roman"/>
          <w:sz w:val="28"/>
          <w:szCs w:val="28"/>
          <w:lang w:val="en-IN"/>
        </w:rPr>
        <w:t>increased to</w:t>
      </w:r>
      <w:r w:rsidR="00B9798A" w:rsidRPr="00D02F06">
        <w:rPr>
          <w:rFonts w:ascii="Times New Roman" w:hAnsi="Times New Roman" w:cs="Times New Roman"/>
          <w:sz w:val="28"/>
          <w:szCs w:val="28"/>
          <w:lang w:val="en-IN"/>
        </w:rPr>
        <w:t xml:space="preserve"> 6% from 4%(basil2)</w:t>
      </w:r>
    </w:p>
    <w:p w14:paraId="6D470A1F" w14:textId="77777777"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lang w:val="en-IN"/>
        </w:rPr>
        <w:t xml:space="preserve">Capital conservation buffer – set as 2.5% of common equity </w:t>
      </w:r>
    </w:p>
    <w:p w14:paraId="12C2BC7A" w14:textId="77777777"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lang w:val="en-IN"/>
        </w:rPr>
        <w:t>Common equity -increased to 7%, total capital is 10.5 %</w:t>
      </w:r>
    </w:p>
    <w:p w14:paraId="3F980660" w14:textId="798FB798" w:rsidR="00C216F8" w:rsidRPr="00D02F06" w:rsidRDefault="00D02F06"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lang w:val="en-IN"/>
        </w:rPr>
        <w:t>Liquidity</w:t>
      </w:r>
      <w:r w:rsidR="00B9798A" w:rsidRPr="00D02F06">
        <w:rPr>
          <w:rFonts w:ascii="Times New Roman" w:hAnsi="Times New Roman" w:cs="Times New Roman"/>
          <w:sz w:val="28"/>
          <w:szCs w:val="28"/>
          <w:lang w:val="en-IN"/>
        </w:rPr>
        <w:t xml:space="preserve"> coverage ratio-enough </w:t>
      </w:r>
      <w:r w:rsidRPr="00D02F06">
        <w:rPr>
          <w:rFonts w:ascii="Times New Roman" w:hAnsi="Times New Roman" w:cs="Times New Roman"/>
          <w:sz w:val="28"/>
          <w:szCs w:val="28"/>
          <w:lang w:val="en-IN"/>
        </w:rPr>
        <w:t>funds.</w:t>
      </w:r>
    </w:p>
    <w:tbl>
      <w:tblPr>
        <w:tblStyle w:val="TableGrid"/>
        <w:tblW w:w="0" w:type="auto"/>
        <w:tblLook w:val="04A0" w:firstRow="1" w:lastRow="0" w:firstColumn="1" w:lastColumn="0" w:noHBand="0" w:noVBand="1"/>
      </w:tblPr>
      <w:tblGrid>
        <w:gridCol w:w="3116"/>
        <w:gridCol w:w="3117"/>
        <w:gridCol w:w="3117"/>
      </w:tblGrid>
      <w:tr w:rsidR="00B9798A" w:rsidRPr="00D02F06" w14:paraId="582F4FDB" w14:textId="77777777" w:rsidTr="00C216F8">
        <w:trPr>
          <w:trHeight w:val="558"/>
        </w:trPr>
        <w:tc>
          <w:tcPr>
            <w:tcW w:w="3116" w:type="dxa"/>
          </w:tcPr>
          <w:p w14:paraId="651F85C2" w14:textId="515F29CA" w:rsidR="00B9798A" w:rsidRPr="00D02F06" w:rsidRDefault="00B9798A" w:rsidP="00B9798A">
            <w:pPr>
              <w:tabs>
                <w:tab w:val="center" w:pos="4680"/>
              </w:tabs>
              <w:rPr>
                <w:rFonts w:ascii="Times New Roman" w:hAnsi="Times New Roman" w:cs="Times New Roman"/>
                <w:b/>
                <w:bCs/>
                <w:sz w:val="28"/>
                <w:szCs w:val="28"/>
                <w:lang w:val="en-IN"/>
              </w:rPr>
            </w:pPr>
            <w:r w:rsidRPr="00D02F06">
              <w:rPr>
                <w:rFonts w:ascii="Times New Roman" w:hAnsi="Times New Roman" w:cs="Times New Roman"/>
                <w:b/>
                <w:bCs/>
                <w:sz w:val="28"/>
                <w:szCs w:val="28"/>
              </w:rPr>
              <w:t>Component</w:t>
            </w:r>
          </w:p>
        </w:tc>
        <w:tc>
          <w:tcPr>
            <w:tcW w:w="3117" w:type="dxa"/>
          </w:tcPr>
          <w:p w14:paraId="055B524D" w14:textId="651388E9" w:rsidR="00B9798A" w:rsidRPr="00D02F06" w:rsidRDefault="00B9798A" w:rsidP="00B9798A">
            <w:pPr>
              <w:tabs>
                <w:tab w:val="center" w:pos="4680"/>
              </w:tabs>
              <w:rPr>
                <w:rFonts w:ascii="Times New Roman" w:hAnsi="Times New Roman" w:cs="Times New Roman"/>
                <w:b/>
                <w:bCs/>
                <w:sz w:val="28"/>
                <w:szCs w:val="28"/>
                <w:lang w:val="en-IN"/>
              </w:rPr>
            </w:pPr>
            <w:r w:rsidRPr="00D02F06">
              <w:rPr>
                <w:rFonts w:ascii="Times New Roman" w:hAnsi="Times New Roman" w:cs="Times New Roman"/>
                <w:b/>
                <w:bCs/>
                <w:sz w:val="28"/>
                <w:szCs w:val="28"/>
              </w:rPr>
              <w:t>d</w:t>
            </w:r>
            <w:r w:rsidRPr="00D02F06">
              <w:rPr>
                <w:rFonts w:ascii="Times New Roman" w:hAnsi="Times New Roman" w:cs="Times New Roman"/>
                <w:b/>
                <w:bCs/>
                <w:sz w:val="28"/>
                <w:szCs w:val="28"/>
              </w:rPr>
              <w:t>escription</w:t>
            </w:r>
          </w:p>
        </w:tc>
        <w:tc>
          <w:tcPr>
            <w:tcW w:w="3117" w:type="dxa"/>
          </w:tcPr>
          <w:p w14:paraId="1B70F9E4" w14:textId="2E7D5DBA" w:rsidR="00B9798A" w:rsidRPr="00D02F06" w:rsidRDefault="00B9798A" w:rsidP="00B9798A">
            <w:pPr>
              <w:tabs>
                <w:tab w:val="center" w:pos="4680"/>
              </w:tabs>
              <w:rPr>
                <w:rFonts w:ascii="Times New Roman" w:hAnsi="Times New Roman" w:cs="Times New Roman"/>
                <w:b/>
                <w:bCs/>
                <w:sz w:val="28"/>
                <w:szCs w:val="28"/>
                <w:lang w:val="en-IN"/>
              </w:rPr>
            </w:pPr>
            <w:r w:rsidRPr="00D02F06">
              <w:rPr>
                <w:rFonts w:ascii="Times New Roman" w:hAnsi="Times New Roman" w:cs="Times New Roman"/>
                <w:b/>
                <w:bCs/>
                <w:sz w:val="28"/>
                <w:szCs w:val="28"/>
              </w:rPr>
              <w:t>U.S. Implementation</w:t>
            </w:r>
          </w:p>
        </w:tc>
      </w:tr>
      <w:tr w:rsidR="00B9798A" w:rsidRPr="00D02F06" w14:paraId="59550067" w14:textId="77777777" w:rsidTr="00B9798A">
        <w:tc>
          <w:tcPr>
            <w:tcW w:w="3116" w:type="dxa"/>
          </w:tcPr>
          <w:p w14:paraId="2A176EF5" w14:textId="25E2F499"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Capital Requirements</w:t>
            </w:r>
          </w:p>
        </w:tc>
        <w:tc>
          <w:tcPr>
            <w:tcW w:w="3117" w:type="dxa"/>
          </w:tcPr>
          <w:p w14:paraId="60088425" w14:textId="271EA813"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h</w:t>
            </w:r>
            <w:r w:rsidRPr="00D02F06">
              <w:rPr>
                <w:rFonts w:ascii="Times New Roman" w:hAnsi="Times New Roman" w:cs="Times New Roman"/>
                <w:sz w:val="28"/>
                <w:szCs w:val="28"/>
              </w:rPr>
              <w:t>igher minimum capital with a focus on high-quality capital.</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16F8" w:rsidRPr="00C216F8" w14:paraId="006CECE1" w14:textId="77777777" w:rsidTr="00C216F8">
              <w:trPr>
                <w:tblCellSpacing w:w="15" w:type="dxa"/>
              </w:trPr>
              <w:tc>
                <w:tcPr>
                  <w:tcW w:w="0" w:type="auto"/>
                  <w:vAlign w:val="center"/>
                  <w:hideMark/>
                </w:tcPr>
                <w:p w14:paraId="4AECFB2E" w14:textId="77777777" w:rsidR="00C216F8" w:rsidRPr="00C216F8" w:rsidRDefault="00C216F8" w:rsidP="00C216F8">
                  <w:pPr>
                    <w:spacing w:after="0" w:line="240" w:lineRule="auto"/>
                    <w:rPr>
                      <w:rFonts w:ascii="Times New Roman" w:eastAsia="Times New Roman" w:hAnsi="Times New Roman" w:cs="Times New Roman"/>
                      <w:sz w:val="28"/>
                      <w:szCs w:val="28"/>
                    </w:rPr>
                  </w:pPr>
                </w:p>
              </w:tc>
            </w:tr>
          </w:tbl>
          <w:p w14:paraId="6DC82D0E" w14:textId="77777777" w:rsidR="00C216F8" w:rsidRPr="00C216F8" w:rsidRDefault="00C216F8" w:rsidP="00C216F8">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216F8" w:rsidRPr="00C216F8" w14:paraId="3B6C4112" w14:textId="77777777" w:rsidTr="00C216F8">
              <w:trPr>
                <w:tblCellSpacing w:w="15" w:type="dxa"/>
              </w:trPr>
              <w:tc>
                <w:tcPr>
                  <w:tcW w:w="0" w:type="auto"/>
                  <w:vAlign w:val="center"/>
                  <w:hideMark/>
                </w:tcPr>
                <w:p w14:paraId="33757091" w14:textId="77777777" w:rsidR="00C216F8" w:rsidRPr="00C216F8" w:rsidRDefault="00C216F8" w:rsidP="00C216F8">
                  <w:pPr>
                    <w:spacing w:after="0" w:line="240" w:lineRule="auto"/>
                    <w:rPr>
                      <w:rFonts w:ascii="Times New Roman" w:eastAsia="Times New Roman" w:hAnsi="Times New Roman" w:cs="Times New Roman"/>
                      <w:sz w:val="28"/>
                      <w:szCs w:val="28"/>
                    </w:rPr>
                  </w:pPr>
                  <w:r w:rsidRPr="00C216F8">
                    <w:rPr>
                      <w:rFonts w:ascii="Times New Roman" w:eastAsia="Times New Roman" w:hAnsi="Times New Roman" w:cs="Times New Roman"/>
                      <w:sz w:val="28"/>
                      <w:szCs w:val="28"/>
                    </w:rPr>
                    <w:t>CET1: 4.5%, Tier 1: 6%, Total Capital: 8%</w:t>
                  </w:r>
                </w:p>
              </w:tc>
            </w:tr>
          </w:tbl>
          <w:p w14:paraId="41C262CC" w14:textId="77777777" w:rsidR="00B9798A" w:rsidRPr="00D02F06" w:rsidRDefault="00B9798A" w:rsidP="00B9798A">
            <w:pPr>
              <w:tabs>
                <w:tab w:val="center" w:pos="4680"/>
              </w:tabs>
              <w:rPr>
                <w:rFonts w:ascii="Times New Roman" w:hAnsi="Times New Roman" w:cs="Times New Roman"/>
                <w:sz w:val="28"/>
                <w:szCs w:val="28"/>
                <w:lang w:val="en-IN"/>
              </w:rPr>
            </w:pPr>
          </w:p>
        </w:tc>
      </w:tr>
      <w:tr w:rsidR="00B9798A" w:rsidRPr="00D02F06" w14:paraId="5984ADC7" w14:textId="77777777" w:rsidTr="00B9798A">
        <w:tc>
          <w:tcPr>
            <w:tcW w:w="3116" w:type="dxa"/>
          </w:tcPr>
          <w:p w14:paraId="2CFD5685" w14:textId="5B7EFD85"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Risk-Weighted Assets</w:t>
            </w:r>
          </w:p>
        </w:tc>
        <w:tc>
          <w:tcPr>
            <w:tcW w:w="3117" w:type="dxa"/>
          </w:tcPr>
          <w:p w14:paraId="0DED03C3" w14:textId="2B1F4798"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Aligns capital with risk exposure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16F8" w:rsidRPr="00C216F8" w14:paraId="4F6788B3" w14:textId="77777777" w:rsidTr="00C216F8">
              <w:trPr>
                <w:tblCellSpacing w:w="15" w:type="dxa"/>
              </w:trPr>
              <w:tc>
                <w:tcPr>
                  <w:tcW w:w="0" w:type="auto"/>
                  <w:vAlign w:val="center"/>
                  <w:hideMark/>
                </w:tcPr>
                <w:p w14:paraId="5A7180D0" w14:textId="77777777" w:rsidR="00C216F8" w:rsidRPr="00C216F8" w:rsidRDefault="00C216F8" w:rsidP="00C216F8">
                  <w:pPr>
                    <w:spacing w:after="0" w:line="240" w:lineRule="auto"/>
                    <w:rPr>
                      <w:rFonts w:ascii="Times New Roman" w:eastAsia="Times New Roman" w:hAnsi="Times New Roman" w:cs="Times New Roman"/>
                      <w:sz w:val="28"/>
                      <w:szCs w:val="28"/>
                    </w:rPr>
                  </w:pPr>
                </w:p>
              </w:tc>
            </w:tr>
          </w:tbl>
          <w:p w14:paraId="51F40C66" w14:textId="77777777" w:rsidR="00C216F8" w:rsidRPr="00C216F8" w:rsidRDefault="00C216F8" w:rsidP="00C216F8">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C216F8" w:rsidRPr="00C216F8" w14:paraId="1C6E1789" w14:textId="77777777" w:rsidTr="00C216F8">
              <w:trPr>
                <w:tblCellSpacing w:w="15" w:type="dxa"/>
              </w:trPr>
              <w:tc>
                <w:tcPr>
                  <w:tcW w:w="0" w:type="auto"/>
                  <w:vAlign w:val="center"/>
                  <w:hideMark/>
                </w:tcPr>
                <w:p w14:paraId="1A8C88F0" w14:textId="77777777" w:rsidR="00C216F8" w:rsidRPr="00C216F8" w:rsidRDefault="00C216F8" w:rsidP="00C216F8">
                  <w:pPr>
                    <w:spacing w:after="0" w:line="240" w:lineRule="auto"/>
                    <w:rPr>
                      <w:rFonts w:ascii="Times New Roman" w:eastAsia="Times New Roman" w:hAnsi="Times New Roman" w:cs="Times New Roman"/>
                      <w:sz w:val="28"/>
                      <w:szCs w:val="28"/>
                    </w:rPr>
                  </w:pPr>
                  <w:r w:rsidRPr="00C216F8">
                    <w:rPr>
                      <w:rFonts w:ascii="Times New Roman" w:eastAsia="Times New Roman" w:hAnsi="Times New Roman" w:cs="Times New Roman"/>
                      <w:sz w:val="28"/>
                      <w:szCs w:val="28"/>
                    </w:rPr>
                    <w:t>Higher risk weights for riskier assets.</w:t>
                  </w:r>
                </w:p>
              </w:tc>
            </w:tr>
          </w:tbl>
          <w:p w14:paraId="58B60257" w14:textId="77777777" w:rsidR="00B9798A" w:rsidRPr="00D02F06" w:rsidRDefault="00B9798A" w:rsidP="00B9798A">
            <w:pPr>
              <w:tabs>
                <w:tab w:val="center" w:pos="4680"/>
              </w:tabs>
              <w:rPr>
                <w:rFonts w:ascii="Times New Roman" w:hAnsi="Times New Roman" w:cs="Times New Roman"/>
                <w:sz w:val="28"/>
                <w:szCs w:val="28"/>
                <w:lang w:val="en-IN"/>
              </w:rPr>
            </w:pPr>
          </w:p>
        </w:tc>
      </w:tr>
      <w:tr w:rsidR="00B9798A" w:rsidRPr="00D02F06" w14:paraId="4D291D35" w14:textId="77777777" w:rsidTr="00B9798A">
        <w:tc>
          <w:tcPr>
            <w:tcW w:w="3116" w:type="dxa"/>
          </w:tcPr>
          <w:p w14:paraId="520B93E4" w14:textId="0B98DB26"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Leverage Ratio</w:t>
            </w:r>
          </w:p>
        </w:tc>
        <w:tc>
          <w:tcPr>
            <w:tcW w:w="3117" w:type="dxa"/>
          </w:tcPr>
          <w:p w14:paraId="2135818C" w14:textId="3800C3F7"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Minimum capital relative to total assets.</w:t>
            </w:r>
          </w:p>
        </w:tc>
        <w:tc>
          <w:tcPr>
            <w:tcW w:w="3117" w:type="dxa"/>
          </w:tcPr>
          <w:p w14:paraId="1CB7AB08" w14:textId="3014496A" w:rsidR="00B9798A" w:rsidRPr="00D02F06" w:rsidRDefault="00C216F8"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m</w:t>
            </w:r>
            <w:r w:rsidRPr="00D02F06">
              <w:rPr>
                <w:rFonts w:ascii="Times New Roman" w:hAnsi="Times New Roman" w:cs="Times New Roman"/>
                <w:sz w:val="28"/>
                <w:szCs w:val="28"/>
              </w:rPr>
              <w:t>inimum leverage ratio of 4%.</w:t>
            </w:r>
          </w:p>
        </w:tc>
      </w:tr>
      <w:tr w:rsidR="00B9798A" w:rsidRPr="00D02F06" w14:paraId="6907A90B" w14:textId="77777777" w:rsidTr="00B9798A">
        <w:tc>
          <w:tcPr>
            <w:tcW w:w="3116" w:type="dxa"/>
          </w:tcPr>
          <w:p w14:paraId="3D526926" w14:textId="3A35C058"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Liquidity Requirements</w:t>
            </w:r>
          </w:p>
        </w:tc>
        <w:tc>
          <w:tcPr>
            <w:tcW w:w="3117" w:type="dxa"/>
          </w:tcPr>
          <w:p w14:paraId="1D98AA0D" w14:textId="71C00B18"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e</w:t>
            </w:r>
            <w:r w:rsidRPr="00D02F06">
              <w:rPr>
                <w:rFonts w:ascii="Times New Roman" w:hAnsi="Times New Roman" w:cs="Times New Roman"/>
                <w:sz w:val="28"/>
                <w:szCs w:val="28"/>
              </w:rPr>
              <w:t>nsures banks have enough liquid assets and stable funding.</w:t>
            </w:r>
          </w:p>
        </w:tc>
        <w:tc>
          <w:tcPr>
            <w:tcW w:w="3117" w:type="dxa"/>
          </w:tcPr>
          <w:p w14:paraId="04C086FF" w14:textId="07943ADE" w:rsidR="00B9798A" w:rsidRPr="00D02F06" w:rsidRDefault="00C216F8"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LCR and NSFR requirements for liquidity and funding stability.</w:t>
            </w:r>
          </w:p>
        </w:tc>
      </w:tr>
      <w:tr w:rsidR="00B9798A" w:rsidRPr="00D02F06" w14:paraId="11D94AC5" w14:textId="77777777" w:rsidTr="00B9798A">
        <w:tc>
          <w:tcPr>
            <w:tcW w:w="3116" w:type="dxa"/>
          </w:tcPr>
          <w:p w14:paraId="65ED04FA" w14:textId="241C1703" w:rsidR="00B9798A" w:rsidRPr="00D02F06" w:rsidRDefault="00B9798A" w:rsidP="00B9798A">
            <w:pPr>
              <w:tabs>
                <w:tab w:val="left" w:pos="936"/>
              </w:tabs>
              <w:rPr>
                <w:rFonts w:ascii="Times New Roman" w:hAnsi="Times New Roman" w:cs="Times New Roman"/>
                <w:sz w:val="28"/>
                <w:szCs w:val="28"/>
                <w:lang w:val="en-IN"/>
              </w:rPr>
            </w:pPr>
            <w:r w:rsidRPr="00D02F06">
              <w:rPr>
                <w:rFonts w:ascii="Times New Roman" w:hAnsi="Times New Roman" w:cs="Times New Roman"/>
                <w:sz w:val="28"/>
                <w:szCs w:val="28"/>
              </w:rPr>
              <w:t>Countercyclical Buffer</w:t>
            </w:r>
          </w:p>
        </w:tc>
        <w:tc>
          <w:tcPr>
            <w:tcW w:w="3117" w:type="dxa"/>
          </w:tcPr>
          <w:p w14:paraId="50E4DFEF" w14:textId="31C3A8C7"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Extra capital during economic growth, used in downturns.</w:t>
            </w:r>
          </w:p>
        </w:tc>
        <w:tc>
          <w:tcPr>
            <w:tcW w:w="3117" w:type="dxa"/>
          </w:tcPr>
          <w:p w14:paraId="776FA9FD" w14:textId="42F7AA22" w:rsidR="00B9798A" w:rsidRPr="00D02F06" w:rsidRDefault="00C216F8"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Up to 2.5% additional capital based on economic conditions.</w:t>
            </w:r>
          </w:p>
        </w:tc>
      </w:tr>
      <w:tr w:rsidR="00B9798A" w:rsidRPr="00D02F06" w14:paraId="4E8E152D" w14:textId="77777777" w:rsidTr="00B9798A">
        <w:tc>
          <w:tcPr>
            <w:tcW w:w="3116" w:type="dxa"/>
          </w:tcPr>
          <w:p w14:paraId="581624C8" w14:textId="09CBF0F9"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Stress Testing</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798A" w:rsidRPr="00B9798A" w14:paraId="212F7E04" w14:textId="77777777" w:rsidTr="00B9798A">
              <w:trPr>
                <w:tblCellSpacing w:w="15" w:type="dxa"/>
              </w:trPr>
              <w:tc>
                <w:tcPr>
                  <w:tcW w:w="0" w:type="auto"/>
                  <w:vAlign w:val="center"/>
                  <w:hideMark/>
                </w:tcPr>
                <w:p w14:paraId="0F21DD32" w14:textId="77777777" w:rsidR="00B9798A" w:rsidRPr="00B9798A" w:rsidRDefault="00B9798A" w:rsidP="00B9798A">
                  <w:pPr>
                    <w:spacing w:after="0" w:line="240" w:lineRule="auto"/>
                    <w:rPr>
                      <w:rFonts w:ascii="Times New Roman" w:eastAsia="Times New Roman" w:hAnsi="Times New Roman" w:cs="Times New Roman"/>
                      <w:sz w:val="28"/>
                      <w:szCs w:val="28"/>
                    </w:rPr>
                  </w:pPr>
                  <w:r w:rsidRPr="00B9798A">
                    <w:rPr>
                      <w:rFonts w:ascii="Times New Roman" w:eastAsia="Times New Roman" w:hAnsi="Times New Roman" w:cs="Times New Roman"/>
                      <w:sz w:val="28"/>
                      <w:szCs w:val="28"/>
                    </w:rPr>
                    <w:t>Tests banks' ability to handle economic stress.</w:t>
                  </w:r>
                </w:p>
              </w:tc>
            </w:tr>
          </w:tbl>
          <w:p w14:paraId="3602116E" w14:textId="77777777" w:rsidR="00B9798A" w:rsidRPr="00B9798A" w:rsidRDefault="00B9798A" w:rsidP="00B9798A">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798A" w:rsidRPr="00B9798A" w14:paraId="6D80D9ED" w14:textId="77777777" w:rsidTr="00B9798A">
              <w:trPr>
                <w:tblCellSpacing w:w="15" w:type="dxa"/>
              </w:trPr>
              <w:tc>
                <w:tcPr>
                  <w:tcW w:w="0" w:type="auto"/>
                  <w:vAlign w:val="center"/>
                  <w:hideMark/>
                </w:tcPr>
                <w:p w14:paraId="086388B9" w14:textId="77777777" w:rsidR="00B9798A" w:rsidRPr="00B9798A" w:rsidRDefault="00B9798A" w:rsidP="00B9798A">
                  <w:pPr>
                    <w:spacing w:after="0" w:line="240" w:lineRule="auto"/>
                    <w:rPr>
                      <w:rFonts w:ascii="Times New Roman" w:eastAsia="Times New Roman" w:hAnsi="Times New Roman" w:cs="Times New Roman"/>
                      <w:sz w:val="28"/>
                      <w:szCs w:val="28"/>
                    </w:rPr>
                  </w:pPr>
                </w:p>
              </w:tc>
            </w:tr>
          </w:tbl>
          <w:p w14:paraId="648DF5DB" w14:textId="77777777" w:rsidR="00B9798A" w:rsidRPr="00D02F06" w:rsidRDefault="00B9798A" w:rsidP="00B9798A">
            <w:pPr>
              <w:tabs>
                <w:tab w:val="center" w:pos="4680"/>
              </w:tabs>
              <w:rPr>
                <w:rFonts w:ascii="Times New Roman" w:hAnsi="Times New Roman" w:cs="Times New Roman"/>
                <w:sz w:val="28"/>
                <w:szCs w:val="28"/>
                <w:lang w:val="en-IN"/>
              </w:rPr>
            </w:pPr>
          </w:p>
        </w:tc>
        <w:tc>
          <w:tcPr>
            <w:tcW w:w="3117" w:type="dxa"/>
          </w:tcPr>
          <w:p w14:paraId="351DAD4C" w14:textId="26FED478" w:rsidR="00B9798A" w:rsidRPr="00D02F06" w:rsidRDefault="00C216F8"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DFAST and CCAR stress tests</w:t>
            </w:r>
          </w:p>
        </w:tc>
      </w:tr>
      <w:tr w:rsidR="00B9798A" w:rsidRPr="00D02F06" w14:paraId="4C8E9A50" w14:textId="77777777" w:rsidTr="00B9798A">
        <w:tc>
          <w:tcPr>
            <w:tcW w:w="3116" w:type="dxa"/>
          </w:tcPr>
          <w:p w14:paraId="3BCF2DA6" w14:textId="282763A6"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rPr>
              <w:t>Disclosure Requirements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798A" w:rsidRPr="00B9798A" w14:paraId="0D65755E" w14:textId="77777777" w:rsidTr="00B9798A">
              <w:trPr>
                <w:tblCellSpacing w:w="15" w:type="dxa"/>
              </w:trPr>
              <w:tc>
                <w:tcPr>
                  <w:tcW w:w="0" w:type="auto"/>
                  <w:vAlign w:val="center"/>
                  <w:hideMark/>
                </w:tcPr>
                <w:p w14:paraId="4A9691D5" w14:textId="77777777" w:rsidR="00B9798A" w:rsidRPr="00B9798A" w:rsidRDefault="00B9798A" w:rsidP="00B9798A">
                  <w:pPr>
                    <w:spacing w:after="0" w:line="240" w:lineRule="auto"/>
                    <w:rPr>
                      <w:rFonts w:ascii="Times New Roman" w:eastAsia="Times New Roman" w:hAnsi="Times New Roman" w:cs="Times New Roman"/>
                      <w:sz w:val="28"/>
                      <w:szCs w:val="28"/>
                    </w:rPr>
                  </w:pPr>
                </w:p>
              </w:tc>
            </w:tr>
          </w:tbl>
          <w:p w14:paraId="08545A96" w14:textId="77777777" w:rsidR="00B9798A" w:rsidRPr="00B9798A" w:rsidRDefault="00B9798A" w:rsidP="00B9798A">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9798A" w:rsidRPr="00B9798A" w14:paraId="29115F36" w14:textId="77777777" w:rsidTr="00B9798A">
              <w:trPr>
                <w:tblCellSpacing w:w="15" w:type="dxa"/>
              </w:trPr>
              <w:tc>
                <w:tcPr>
                  <w:tcW w:w="0" w:type="auto"/>
                  <w:vAlign w:val="center"/>
                  <w:hideMark/>
                </w:tcPr>
                <w:p w14:paraId="2723F241" w14:textId="77777777" w:rsidR="00B9798A" w:rsidRPr="00B9798A" w:rsidRDefault="00B9798A" w:rsidP="00B9798A">
                  <w:pPr>
                    <w:spacing w:after="0" w:line="240" w:lineRule="auto"/>
                    <w:rPr>
                      <w:rFonts w:ascii="Times New Roman" w:eastAsia="Times New Roman" w:hAnsi="Times New Roman" w:cs="Times New Roman"/>
                      <w:sz w:val="28"/>
                      <w:szCs w:val="28"/>
                    </w:rPr>
                  </w:pPr>
                  <w:r w:rsidRPr="00B9798A">
                    <w:rPr>
                      <w:rFonts w:ascii="Times New Roman" w:eastAsia="Times New Roman" w:hAnsi="Times New Roman" w:cs="Times New Roman"/>
                      <w:sz w:val="28"/>
                      <w:szCs w:val="28"/>
                    </w:rPr>
                    <w:t>Requires detailed disclosures on capital and risk.</w:t>
                  </w:r>
                </w:p>
              </w:tc>
            </w:tr>
          </w:tbl>
          <w:p w14:paraId="16170C07" w14:textId="77777777" w:rsidR="00B9798A" w:rsidRPr="00D02F06" w:rsidRDefault="00B9798A" w:rsidP="00B9798A">
            <w:pPr>
              <w:tabs>
                <w:tab w:val="center" w:pos="4680"/>
              </w:tabs>
              <w:rPr>
                <w:rFonts w:ascii="Times New Roman" w:hAnsi="Times New Roman" w:cs="Times New Roman"/>
                <w:sz w:val="28"/>
                <w:szCs w:val="28"/>
                <w:lang w:val="en-IN"/>
              </w:rPr>
            </w:pPr>
          </w:p>
        </w:tc>
        <w:tc>
          <w:tcPr>
            <w:tcW w:w="3117" w:type="dxa"/>
          </w:tcPr>
          <w:p w14:paraId="0D353067" w14:textId="13C8F435" w:rsidR="00C216F8" w:rsidRPr="00D02F06" w:rsidRDefault="00C216F8" w:rsidP="00C216F8">
            <w:pPr>
              <w:rPr>
                <w:rFonts w:ascii="Times New Roman" w:hAnsi="Times New Roman" w:cs="Times New Roman"/>
                <w:sz w:val="28"/>
                <w:szCs w:val="28"/>
                <w:lang w:val="en-IN"/>
              </w:rPr>
            </w:pPr>
            <w:r w:rsidRPr="00D02F06">
              <w:rPr>
                <w:rFonts w:ascii="Times New Roman" w:hAnsi="Times New Roman" w:cs="Times New Roman"/>
                <w:sz w:val="28"/>
                <w:szCs w:val="28"/>
              </w:rPr>
              <w:t>Banks must disclose capital adequacy and risk management details.</w:t>
            </w:r>
          </w:p>
        </w:tc>
      </w:tr>
    </w:tbl>
    <w:p w14:paraId="69840470" w14:textId="235844CF" w:rsidR="00B9798A" w:rsidRPr="00D02F06" w:rsidRDefault="00B9798A" w:rsidP="00B9798A">
      <w:pPr>
        <w:tabs>
          <w:tab w:val="center" w:pos="4680"/>
        </w:tabs>
        <w:rPr>
          <w:rFonts w:ascii="Times New Roman" w:hAnsi="Times New Roman" w:cs="Times New Roman"/>
          <w:sz w:val="28"/>
          <w:szCs w:val="28"/>
          <w:lang w:val="en-IN"/>
        </w:rPr>
      </w:pPr>
      <w:r w:rsidRPr="00D02F06">
        <w:rPr>
          <w:rFonts w:ascii="Times New Roman" w:hAnsi="Times New Roman" w:cs="Times New Roman"/>
          <w:sz w:val="28"/>
          <w:szCs w:val="28"/>
          <w:lang w:val="en-IN"/>
        </w:rPr>
        <w:tab/>
      </w:r>
    </w:p>
    <w:p w14:paraId="0C548D7F" w14:textId="77777777" w:rsidR="00C216F8" w:rsidRPr="00D02F06" w:rsidRDefault="00C216F8" w:rsidP="00B9798A">
      <w:pPr>
        <w:tabs>
          <w:tab w:val="center" w:pos="4680"/>
        </w:tabs>
        <w:rPr>
          <w:rFonts w:ascii="Times New Roman" w:hAnsi="Times New Roman" w:cs="Times New Roman"/>
          <w:sz w:val="28"/>
          <w:szCs w:val="28"/>
          <w:lang w:val="en-IN"/>
        </w:rPr>
      </w:pPr>
    </w:p>
    <w:p w14:paraId="480CDD68" w14:textId="77777777" w:rsidR="00D02F06" w:rsidRDefault="00D02F06">
      <w:pPr>
        <w:rPr>
          <w:rFonts w:ascii="Times New Roman" w:hAnsi="Times New Roman" w:cs="Times New Roman"/>
          <w:b/>
          <w:bCs/>
          <w:sz w:val="28"/>
          <w:szCs w:val="28"/>
          <w:lang w:val="en-IN"/>
        </w:rPr>
      </w:pPr>
    </w:p>
    <w:p w14:paraId="4B10C047" w14:textId="77777777" w:rsidR="00D02F06" w:rsidRDefault="00D02F06">
      <w:pPr>
        <w:rPr>
          <w:rFonts w:ascii="Times New Roman" w:hAnsi="Times New Roman" w:cs="Times New Roman"/>
          <w:b/>
          <w:bCs/>
          <w:sz w:val="28"/>
          <w:szCs w:val="28"/>
          <w:lang w:val="en-IN"/>
        </w:rPr>
      </w:pPr>
    </w:p>
    <w:p w14:paraId="6DCCCF64" w14:textId="777B2A40" w:rsidR="00924E6D" w:rsidRPr="00D02F06" w:rsidRDefault="00D52C09">
      <w:pPr>
        <w:rPr>
          <w:rFonts w:ascii="Times New Roman" w:hAnsi="Times New Roman" w:cs="Times New Roman"/>
          <w:b/>
          <w:bCs/>
          <w:sz w:val="28"/>
          <w:szCs w:val="28"/>
          <w:lang w:val="en-IN"/>
        </w:rPr>
      </w:pPr>
      <w:r w:rsidRPr="00D02F06">
        <w:rPr>
          <w:rFonts w:ascii="Times New Roman" w:hAnsi="Times New Roman" w:cs="Times New Roman"/>
          <w:b/>
          <w:bCs/>
          <w:sz w:val="28"/>
          <w:szCs w:val="28"/>
          <w:lang w:val="en-IN"/>
        </w:rPr>
        <w:lastRenderedPageBreak/>
        <w:t xml:space="preserve">Securities and exchange commission </w:t>
      </w:r>
    </w:p>
    <w:p w14:paraId="7AC116BE" w14:textId="6F9EF10E"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sz w:val="28"/>
          <w:szCs w:val="28"/>
        </w:rPr>
        <w:t xml:space="preserve">The Securities and Exchange Commission (SEC) has a vast set of regulations aimed at protecting investors, ensuring fair markets, and facilitating capital formation. </w:t>
      </w:r>
    </w:p>
    <w:p w14:paraId="5C926205"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b/>
          <w:bCs/>
          <w:sz w:val="28"/>
          <w:szCs w:val="28"/>
        </w:rPr>
        <w:t>Why Regulations Exist:</w:t>
      </w:r>
    </w:p>
    <w:p w14:paraId="76C74257" w14:textId="77777777" w:rsidR="00D52C09" w:rsidRPr="00D52C09" w:rsidRDefault="00D52C09" w:rsidP="00D52C09">
      <w:pPr>
        <w:numPr>
          <w:ilvl w:val="0"/>
          <w:numId w:val="1"/>
        </w:numPr>
        <w:rPr>
          <w:rFonts w:ascii="Times New Roman" w:hAnsi="Times New Roman" w:cs="Times New Roman"/>
          <w:sz w:val="28"/>
          <w:szCs w:val="28"/>
        </w:rPr>
      </w:pPr>
      <w:r w:rsidRPr="00D52C09">
        <w:rPr>
          <w:rFonts w:ascii="Times New Roman" w:hAnsi="Times New Roman" w:cs="Times New Roman"/>
          <w:sz w:val="28"/>
          <w:szCs w:val="28"/>
        </w:rPr>
        <w:t>Established in response to the 1929 stock market crash, the SEC enforces laws to prevent similar disasters.</w:t>
      </w:r>
    </w:p>
    <w:p w14:paraId="5548EC5B" w14:textId="77777777" w:rsidR="00D52C09" w:rsidRPr="00D52C09" w:rsidRDefault="00D52C09" w:rsidP="00D52C09">
      <w:pPr>
        <w:numPr>
          <w:ilvl w:val="0"/>
          <w:numId w:val="1"/>
        </w:numPr>
        <w:rPr>
          <w:rFonts w:ascii="Times New Roman" w:hAnsi="Times New Roman" w:cs="Times New Roman"/>
          <w:sz w:val="28"/>
          <w:szCs w:val="28"/>
        </w:rPr>
      </w:pPr>
      <w:r w:rsidRPr="00D52C09">
        <w:rPr>
          <w:rFonts w:ascii="Times New Roman" w:hAnsi="Times New Roman" w:cs="Times New Roman"/>
          <w:sz w:val="28"/>
          <w:szCs w:val="28"/>
        </w:rPr>
        <w:t xml:space="preserve">Regulations aim to: </w:t>
      </w:r>
    </w:p>
    <w:p w14:paraId="69A0367F" w14:textId="77777777" w:rsidR="00D52C09" w:rsidRPr="00D52C09" w:rsidRDefault="00D52C09" w:rsidP="00D52C09">
      <w:pPr>
        <w:numPr>
          <w:ilvl w:val="1"/>
          <w:numId w:val="1"/>
        </w:numPr>
        <w:rPr>
          <w:rFonts w:ascii="Times New Roman" w:hAnsi="Times New Roman" w:cs="Times New Roman"/>
          <w:sz w:val="28"/>
          <w:szCs w:val="28"/>
        </w:rPr>
      </w:pPr>
      <w:r w:rsidRPr="00D52C09">
        <w:rPr>
          <w:rFonts w:ascii="Times New Roman" w:hAnsi="Times New Roman" w:cs="Times New Roman"/>
          <w:sz w:val="28"/>
          <w:szCs w:val="28"/>
        </w:rPr>
        <w:t>Protect investors from fraud and misinformation</w:t>
      </w:r>
    </w:p>
    <w:p w14:paraId="4257A55D" w14:textId="77777777" w:rsidR="00D52C09" w:rsidRPr="00D52C09" w:rsidRDefault="00D52C09" w:rsidP="00D52C09">
      <w:pPr>
        <w:numPr>
          <w:ilvl w:val="1"/>
          <w:numId w:val="1"/>
        </w:numPr>
        <w:rPr>
          <w:rFonts w:ascii="Times New Roman" w:hAnsi="Times New Roman" w:cs="Times New Roman"/>
          <w:sz w:val="28"/>
          <w:szCs w:val="28"/>
        </w:rPr>
      </w:pPr>
      <w:r w:rsidRPr="00D52C09">
        <w:rPr>
          <w:rFonts w:ascii="Times New Roman" w:hAnsi="Times New Roman" w:cs="Times New Roman"/>
          <w:sz w:val="28"/>
          <w:szCs w:val="28"/>
        </w:rPr>
        <w:t>Promote transparency in companies issuing securities</w:t>
      </w:r>
    </w:p>
    <w:p w14:paraId="376FCAF6" w14:textId="77777777" w:rsidR="00D52C09" w:rsidRPr="00D52C09" w:rsidRDefault="00D52C09" w:rsidP="00D52C09">
      <w:pPr>
        <w:numPr>
          <w:ilvl w:val="1"/>
          <w:numId w:val="1"/>
        </w:numPr>
        <w:rPr>
          <w:rFonts w:ascii="Times New Roman" w:hAnsi="Times New Roman" w:cs="Times New Roman"/>
          <w:sz w:val="28"/>
          <w:szCs w:val="28"/>
        </w:rPr>
      </w:pPr>
      <w:r w:rsidRPr="00D52C09">
        <w:rPr>
          <w:rFonts w:ascii="Times New Roman" w:hAnsi="Times New Roman" w:cs="Times New Roman"/>
          <w:sz w:val="28"/>
          <w:szCs w:val="28"/>
        </w:rPr>
        <w:t>Ensure fair and orderly trading practices</w:t>
      </w:r>
    </w:p>
    <w:p w14:paraId="56CA019A"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b/>
          <w:bCs/>
          <w:sz w:val="28"/>
          <w:szCs w:val="28"/>
        </w:rPr>
        <w:t>Sources of Regulations:</w:t>
      </w:r>
    </w:p>
    <w:p w14:paraId="1EAC60AA"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sz w:val="28"/>
          <w:szCs w:val="28"/>
        </w:rPr>
        <w:t>The SEC's regulatory authority comes from various laws passed by Congress, including:</w:t>
      </w:r>
    </w:p>
    <w:p w14:paraId="56052CED" w14:textId="77777777" w:rsidR="00D52C09" w:rsidRPr="00D52C09" w:rsidRDefault="00D52C09" w:rsidP="00D52C09">
      <w:pPr>
        <w:numPr>
          <w:ilvl w:val="0"/>
          <w:numId w:val="2"/>
        </w:numPr>
        <w:rPr>
          <w:rFonts w:ascii="Times New Roman" w:hAnsi="Times New Roman" w:cs="Times New Roman"/>
          <w:sz w:val="28"/>
          <w:szCs w:val="28"/>
        </w:rPr>
      </w:pPr>
      <w:r w:rsidRPr="00D52C09">
        <w:rPr>
          <w:rFonts w:ascii="Times New Roman" w:hAnsi="Times New Roman" w:cs="Times New Roman"/>
          <w:sz w:val="28"/>
          <w:szCs w:val="28"/>
        </w:rPr>
        <w:t>Securities Act of 1933</w:t>
      </w:r>
    </w:p>
    <w:p w14:paraId="1F9971C4" w14:textId="77777777" w:rsidR="00D52C09" w:rsidRPr="00D52C09" w:rsidRDefault="00D52C09" w:rsidP="00D52C09">
      <w:pPr>
        <w:numPr>
          <w:ilvl w:val="0"/>
          <w:numId w:val="2"/>
        </w:numPr>
        <w:rPr>
          <w:rFonts w:ascii="Times New Roman" w:hAnsi="Times New Roman" w:cs="Times New Roman"/>
          <w:sz w:val="28"/>
          <w:szCs w:val="28"/>
        </w:rPr>
      </w:pPr>
      <w:r w:rsidRPr="00D52C09">
        <w:rPr>
          <w:rFonts w:ascii="Times New Roman" w:hAnsi="Times New Roman" w:cs="Times New Roman"/>
          <w:sz w:val="28"/>
          <w:szCs w:val="28"/>
        </w:rPr>
        <w:t>Securities Exchange Act of 1934</w:t>
      </w:r>
    </w:p>
    <w:p w14:paraId="5CAE34BB" w14:textId="77777777" w:rsidR="00D52C09" w:rsidRPr="00D52C09" w:rsidRDefault="00D52C09" w:rsidP="00D52C09">
      <w:pPr>
        <w:numPr>
          <w:ilvl w:val="0"/>
          <w:numId w:val="2"/>
        </w:numPr>
        <w:rPr>
          <w:rFonts w:ascii="Times New Roman" w:hAnsi="Times New Roman" w:cs="Times New Roman"/>
          <w:sz w:val="28"/>
          <w:szCs w:val="28"/>
        </w:rPr>
      </w:pPr>
      <w:r w:rsidRPr="00D52C09">
        <w:rPr>
          <w:rFonts w:ascii="Times New Roman" w:hAnsi="Times New Roman" w:cs="Times New Roman"/>
          <w:sz w:val="28"/>
          <w:szCs w:val="28"/>
        </w:rPr>
        <w:t>Investment Company Act of 1940</w:t>
      </w:r>
    </w:p>
    <w:p w14:paraId="2229E38B" w14:textId="77777777" w:rsidR="00D52C09" w:rsidRPr="00D52C09" w:rsidRDefault="00D52C09" w:rsidP="00D52C09">
      <w:pPr>
        <w:numPr>
          <w:ilvl w:val="0"/>
          <w:numId w:val="2"/>
        </w:numPr>
        <w:rPr>
          <w:rFonts w:ascii="Times New Roman" w:hAnsi="Times New Roman" w:cs="Times New Roman"/>
          <w:sz w:val="28"/>
          <w:szCs w:val="28"/>
        </w:rPr>
      </w:pPr>
      <w:r w:rsidRPr="00D52C09">
        <w:rPr>
          <w:rFonts w:ascii="Times New Roman" w:hAnsi="Times New Roman" w:cs="Times New Roman"/>
          <w:sz w:val="28"/>
          <w:szCs w:val="28"/>
        </w:rPr>
        <w:t>Investment Advisers Act of 1940</w:t>
      </w:r>
    </w:p>
    <w:p w14:paraId="3C0B1DC5" w14:textId="77777777" w:rsidR="00D52C09" w:rsidRPr="00D52C09" w:rsidRDefault="00D52C09" w:rsidP="00D52C09">
      <w:pPr>
        <w:numPr>
          <w:ilvl w:val="0"/>
          <w:numId w:val="2"/>
        </w:numPr>
        <w:rPr>
          <w:rFonts w:ascii="Times New Roman" w:hAnsi="Times New Roman" w:cs="Times New Roman"/>
          <w:sz w:val="28"/>
          <w:szCs w:val="28"/>
        </w:rPr>
      </w:pPr>
      <w:r w:rsidRPr="00D52C09">
        <w:rPr>
          <w:rFonts w:ascii="Times New Roman" w:hAnsi="Times New Roman" w:cs="Times New Roman"/>
          <w:sz w:val="28"/>
          <w:szCs w:val="28"/>
        </w:rPr>
        <w:t>Dodd-Frank Wall Street Reform and Consumer Protection Act of 2010</w:t>
      </w:r>
    </w:p>
    <w:p w14:paraId="1181D2FB"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b/>
          <w:bCs/>
          <w:sz w:val="28"/>
          <w:szCs w:val="28"/>
        </w:rPr>
        <w:t>SEC's Rulemaking Process:</w:t>
      </w:r>
    </w:p>
    <w:p w14:paraId="3C879471"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sz w:val="28"/>
          <w:szCs w:val="28"/>
        </w:rPr>
        <w:t>The SEC creates specific regulations based on these laws. The process typically involves:</w:t>
      </w:r>
    </w:p>
    <w:p w14:paraId="385681CD" w14:textId="77777777" w:rsidR="00D52C09" w:rsidRPr="00D52C09" w:rsidRDefault="00D52C09" w:rsidP="00D52C09">
      <w:pPr>
        <w:numPr>
          <w:ilvl w:val="0"/>
          <w:numId w:val="3"/>
        </w:numPr>
        <w:rPr>
          <w:rFonts w:ascii="Times New Roman" w:hAnsi="Times New Roman" w:cs="Times New Roman"/>
          <w:sz w:val="28"/>
          <w:szCs w:val="28"/>
        </w:rPr>
      </w:pPr>
      <w:r w:rsidRPr="00D52C09">
        <w:rPr>
          <w:rFonts w:ascii="Times New Roman" w:hAnsi="Times New Roman" w:cs="Times New Roman"/>
          <w:sz w:val="28"/>
          <w:szCs w:val="28"/>
        </w:rPr>
        <w:t>Proposing a rule</w:t>
      </w:r>
    </w:p>
    <w:p w14:paraId="69BE6BA3" w14:textId="77777777" w:rsidR="00D52C09" w:rsidRPr="00D52C09" w:rsidRDefault="00D52C09" w:rsidP="00D52C09">
      <w:pPr>
        <w:numPr>
          <w:ilvl w:val="0"/>
          <w:numId w:val="3"/>
        </w:numPr>
        <w:rPr>
          <w:rFonts w:ascii="Times New Roman" w:hAnsi="Times New Roman" w:cs="Times New Roman"/>
          <w:sz w:val="28"/>
          <w:szCs w:val="28"/>
        </w:rPr>
      </w:pPr>
      <w:r w:rsidRPr="00D52C09">
        <w:rPr>
          <w:rFonts w:ascii="Times New Roman" w:hAnsi="Times New Roman" w:cs="Times New Roman"/>
          <w:sz w:val="28"/>
          <w:szCs w:val="28"/>
        </w:rPr>
        <w:t>Allowing public comment</w:t>
      </w:r>
    </w:p>
    <w:p w14:paraId="49344812" w14:textId="77777777" w:rsidR="00D52C09" w:rsidRPr="00D52C09" w:rsidRDefault="00D52C09" w:rsidP="00D52C09">
      <w:pPr>
        <w:numPr>
          <w:ilvl w:val="0"/>
          <w:numId w:val="3"/>
        </w:numPr>
        <w:rPr>
          <w:rFonts w:ascii="Times New Roman" w:hAnsi="Times New Roman" w:cs="Times New Roman"/>
          <w:sz w:val="28"/>
          <w:szCs w:val="28"/>
        </w:rPr>
      </w:pPr>
      <w:r w:rsidRPr="00D52C09">
        <w:rPr>
          <w:rFonts w:ascii="Times New Roman" w:hAnsi="Times New Roman" w:cs="Times New Roman"/>
          <w:sz w:val="28"/>
          <w:szCs w:val="28"/>
        </w:rPr>
        <w:t>Finalizing and publishing the rule</w:t>
      </w:r>
    </w:p>
    <w:p w14:paraId="75BDBE0A" w14:textId="77777777" w:rsidR="00D52C09" w:rsidRPr="00D52C09" w:rsidRDefault="00D52C09" w:rsidP="00D52C09">
      <w:pPr>
        <w:rPr>
          <w:rFonts w:ascii="Times New Roman" w:hAnsi="Times New Roman" w:cs="Times New Roman"/>
          <w:sz w:val="28"/>
          <w:szCs w:val="28"/>
        </w:rPr>
      </w:pPr>
      <w:r w:rsidRPr="00D52C09">
        <w:rPr>
          <w:rFonts w:ascii="Times New Roman" w:hAnsi="Times New Roman" w:cs="Times New Roman"/>
          <w:b/>
          <w:bCs/>
          <w:sz w:val="28"/>
          <w:szCs w:val="28"/>
        </w:rPr>
        <w:t>Examples of Well-Known Regulations:</w:t>
      </w:r>
    </w:p>
    <w:p w14:paraId="0B308E3B" w14:textId="77777777" w:rsidR="00D52C09" w:rsidRPr="00D52C09" w:rsidRDefault="00D52C09" w:rsidP="00D52C09">
      <w:pPr>
        <w:numPr>
          <w:ilvl w:val="0"/>
          <w:numId w:val="4"/>
        </w:numPr>
        <w:rPr>
          <w:rFonts w:ascii="Times New Roman" w:hAnsi="Times New Roman" w:cs="Times New Roman"/>
          <w:sz w:val="28"/>
          <w:szCs w:val="28"/>
        </w:rPr>
      </w:pPr>
      <w:r w:rsidRPr="00D52C09">
        <w:rPr>
          <w:rFonts w:ascii="Times New Roman" w:hAnsi="Times New Roman" w:cs="Times New Roman"/>
          <w:b/>
          <w:bCs/>
          <w:sz w:val="28"/>
          <w:szCs w:val="28"/>
        </w:rPr>
        <w:t>Rule 10b-5:</w:t>
      </w:r>
      <w:r w:rsidRPr="00D52C09">
        <w:rPr>
          <w:rFonts w:ascii="Times New Roman" w:hAnsi="Times New Roman" w:cs="Times New Roman"/>
          <w:sz w:val="28"/>
          <w:szCs w:val="28"/>
        </w:rPr>
        <w:t xml:space="preserve"> Creates a legal basis for suing over securities fraud</w:t>
      </w:r>
    </w:p>
    <w:p w14:paraId="701C3BCC" w14:textId="0DF7D38B" w:rsidR="00D02F06" w:rsidRPr="00D02F06" w:rsidRDefault="00D52C09" w:rsidP="00D02F06">
      <w:pPr>
        <w:numPr>
          <w:ilvl w:val="0"/>
          <w:numId w:val="4"/>
        </w:numPr>
        <w:rPr>
          <w:rFonts w:ascii="Times New Roman" w:hAnsi="Times New Roman" w:cs="Times New Roman"/>
          <w:sz w:val="28"/>
          <w:szCs w:val="28"/>
        </w:rPr>
      </w:pPr>
      <w:r w:rsidRPr="00D52C09">
        <w:rPr>
          <w:rFonts w:ascii="Times New Roman" w:hAnsi="Times New Roman" w:cs="Times New Roman"/>
          <w:b/>
          <w:bCs/>
          <w:sz w:val="28"/>
          <w:szCs w:val="28"/>
        </w:rPr>
        <w:lastRenderedPageBreak/>
        <w:t>SEC Gun-Jumping Rules:</w:t>
      </w:r>
      <w:r w:rsidRPr="00D52C09">
        <w:rPr>
          <w:rFonts w:ascii="Times New Roman" w:hAnsi="Times New Roman" w:cs="Times New Roman"/>
          <w:sz w:val="28"/>
          <w:szCs w:val="28"/>
        </w:rPr>
        <w:t xml:space="preserve"> Prohibit companies from selectively disclosing material information to analysts or investors before public announcements</w:t>
      </w:r>
      <w:r w:rsidRPr="00D02F06">
        <w:rPr>
          <w:rFonts w:ascii="Times New Roman" w:hAnsi="Times New Roman" w:cs="Times New Roman"/>
          <w:sz w:val="28"/>
          <w:szCs w:val="28"/>
        </w:rPr>
        <w:t>.</w:t>
      </w:r>
    </w:p>
    <w:p w14:paraId="4D4A67D0" w14:textId="1083FCA4" w:rsidR="00D02F06" w:rsidRPr="00D02F06" w:rsidRDefault="00D02F06" w:rsidP="00D02F06">
      <w:pPr>
        <w:jc w:val="center"/>
        <w:rPr>
          <w:rFonts w:ascii="Times New Roman" w:hAnsi="Times New Roman" w:cs="Times New Roman"/>
          <w:b/>
          <w:bCs/>
          <w:sz w:val="28"/>
          <w:szCs w:val="28"/>
        </w:rPr>
      </w:pPr>
      <w:r w:rsidRPr="00D02F06">
        <w:rPr>
          <w:rFonts w:ascii="Times New Roman" w:hAnsi="Times New Roman" w:cs="Times New Roman"/>
          <w:b/>
          <w:bCs/>
          <w:sz w:val="28"/>
          <w:szCs w:val="28"/>
        </w:rPr>
        <w:t>DODD-FRANK ACT -SARBANES-OXLEY ACT (SOX)</w:t>
      </w:r>
    </w:p>
    <w:p w14:paraId="66C335DF" w14:textId="138E4E87" w:rsidR="00D52C09" w:rsidRPr="00D02F06" w:rsidRDefault="00D02F06" w:rsidP="00D52C09">
      <w:pPr>
        <w:rPr>
          <w:rFonts w:ascii="Times New Roman" w:hAnsi="Times New Roman" w:cs="Times New Roman"/>
          <w:sz w:val="28"/>
          <w:szCs w:val="28"/>
          <w:lang w:val="en-IN"/>
        </w:rPr>
      </w:pPr>
      <w:r w:rsidRPr="00D02F06">
        <w:rPr>
          <w:rFonts w:ascii="Times New Roman" w:hAnsi="Times New Roman" w:cs="Times New Roman"/>
          <w:sz w:val="28"/>
          <w:szCs w:val="28"/>
          <w:lang w:val="en-IN"/>
        </w:rPr>
        <w:drawing>
          <wp:inline distT="0" distB="0" distL="0" distR="0" wp14:anchorId="55674006" wp14:editId="5813DAF5">
            <wp:extent cx="5753100" cy="6933343"/>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1141" cy="6991239"/>
                    </a:xfrm>
                    <a:prstGeom prst="rect">
                      <a:avLst/>
                    </a:prstGeom>
                  </pic:spPr>
                </pic:pic>
              </a:graphicData>
            </a:graphic>
          </wp:inline>
        </w:drawing>
      </w:r>
    </w:p>
    <w:sectPr w:rsidR="00D52C09" w:rsidRPr="00D02F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9397" w14:textId="77777777" w:rsidR="00E945DA" w:rsidRDefault="00E945DA" w:rsidP="00721A61">
      <w:pPr>
        <w:spacing w:after="0" w:line="240" w:lineRule="auto"/>
      </w:pPr>
      <w:r>
        <w:separator/>
      </w:r>
    </w:p>
  </w:endnote>
  <w:endnote w:type="continuationSeparator" w:id="0">
    <w:p w14:paraId="598CDA06" w14:textId="77777777" w:rsidR="00E945DA" w:rsidRDefault="00E945DA" w:rsidP="00721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AEA30" w14:textId="77777777" w:rsidR="00E945DA" w:rsidRDefault="00E945DA" w:rsidP="00721A61">
      <w:pPr>
        <w:spacing w:after="0" w:line="240" w:lineRule="auto"/>
      </w:pPr>
      <w:r>
        <w:separator/>
      </w:r>
    </w:p>
  </w:footnote>
  <w:footnote w:type="continuationSeparator" w:id="0">
    <w:p w14:paraId="57FE9552" w14:textId="77777777" w:rsidR="00E945DA" w:rsidRDefault="00E945DA" w:rsidP="00721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22A9"/>
    <w:multiLevelType w:val="multilevel"/>
    <w:tmpl w:val="A82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0C06"/>
    <w:multiLevelType w:val="multilevel"/>
    <w:tmpl w:val="D302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96A22"/>
    <w:multiLevelType w:val="multilevel"/>
    <w:tmpl w:val="F12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46398"/>
    <w:multiLevelType w:val="multilevel"/>
    <w:tmpl w:val="3934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61"/>
    <w:rsid w:val="00134559"/>
    <w:rsid w:val="002E0032"/>
    <w:rsid w:val="00721A61"/>
    <w:rsid w:val="00780F65"/>
    <w:rsid w:val="00924E6D"/>
    <w:rsid w:val="00985447"/>
    <w:rsid w:val="00B9798A"/>
    <w:rsid w:val="00C216F8"/>
    <w:rsid w:val="00D02F06"/>
    <w:rsid w:val="00D52C09"/>
    <w:rsid w:val="00E66237"/>
    <w:rsid w:val="00E945DA"/>
    <w:rsid w:val="00FD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2AD9"/>
  <w15:chartTrackingRefBased/>
  <w15:docId w15:val="{19C6B31E-0907-4A9D-8B31-DB209B07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1A61"/>
    <w:rPr>
      <w:b/>
      <w:bCs/>
    </w:rPr>
  </w:style>
  <w:style w:type="paragraph" w:styleId="Header">
    <w:name w:val="header"/>
    <w:basedOn w:val="Normal"/>
    <w:link w:val="HeaderChar"/>
    <w:uiPriority w:val="99"/>
    <w:unhideWhenUsed/>
    <w:rsid w:val="00721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61"/>
  </w:style>
  <w:style w:type="paragraph" w:styleId="Footer">
    <w:name w:val="footer"/>
    <w:basedOn w:val="Normal"/>
    <w:link w:val="FooterChar"/>
    <w:uiPriority w:val="99"/>
    <w:unhideWhenUsed/>
    <w:rsid w:val="00721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08761">
      <w:bodyDiv w:val="1"/>
      <w:marLeft w:val="0"/>
      <w:marRight w:val="0"/>
      <w:marTop w:val="0"/>
      <w:marBottom w:val="0"/>
      <w:divBdr>
        <w:top w:val="none" w:sz="0" w:space="0" w:color="auto"/>
        <w:left w:val="none" w:sz="0" w:space="0" w:color="auto"/>
        <w:bottom w:val="none" w:sz="0" w:space="0" w:color="auto"/>
        <w:right w:val="none" w:sz="0" w:space="0" w:color="auto"/>
      </w:divBdr>
    </w:div>
    <w:div w:id="203756583">
      <w:bodyDiv w:val="1"/>
      <w:marLeft w:val="0"/>
      <w:marRight w:val="0"/>
      <w:marTop w:val="0"/>
      <w:marBottom w:val="0"/>
      <w:divBdr>
        <w:top w:val="none" w:sz="0" w:space="0" w:color="auto"/>
        <w:left w:val="none" w:sz="0" w:space="0" w:color="auto"/>
        <w:bottom w:val="none" w:sz="0" w:space="0" w:color="auto"/>
        <w:right w:val="none" w:sz="0" w:space="0" w:color="auto"/>
      </w:divBdr>
    </w:div>
    <w:div w:id="293947529">
      <w:bodyDiv w:val="1"/>
      <w:marLeft w:val="0"/>
      <w:marRight w:val="0"/>
      <w:marTop w:val="0"/>
      <w:marBottom w:val="0"/>
      <w:divBdr>
        <w:top w:val="none" w:sz="0" w:space="0" w:color="auto"/>
        <w:left w:val="none" w:sz="0" w:space="0" w:color="auto"/>
        <w:bottom w:val="none" w:sz="0" w:space="0" w:color="auto"/>
        <w:right w:val="none" w:sz="0" w:space="0" w:color="auto"/>
      </w:divBdr>
    </w:div>
    <w:div w:id="882250943">
      <w:bodyDiv w:val="1"/>
      <w:marLeft w:val="0"/>
      <w:marRight w:val="0"/>
      <w:marTop w:val="0"/>
      <w:marBottom w:val="0"/>
      <w:divBdr>
        <w:top w:val="none" w:sz="0" w:space="0" w:color="auto"/>
        <w:left w:val="none" w:sz="0" w:space="0" w:color="auto"/>
        <w:bottom w:val="none" w:sz="0" w:space="0" w:color="auto"/>
        <w:right w:val="none" w:sz="0" w:space="0" w:color="auto"/>
      </w:divBdr>
    </w:div>
    <w:div w:id="1073701120">
      <w:bodyDiv w:val="1"/>
      <w:marLeft w:val="0"/>
      <w:marRight w:val="0"/>
      <w:marTop w:val="0"/>
      <w:marBottom w:val="0"/>
      <w:divBdr>
        <w:top w:val="none" w:sz="0" w:space="0" w:color="auto"/>
        <w:left w:val="none" w:sz="0" w:space="0" w:color="auto"/>
        <w:bottom w:val="none" w:sz="0" w:space="0" w:color="auto"/>
        <w:right w:val="none" w:sz="0" w:space="0" w:color="auto"/>
      </w:divBdr>
    </w:div>
    <w:div w:id="1203252981">
      <w:bodyDiv w:val="1"/>
      <w:marLeft w:val="0"/>
      <w:marRight w:val="0"/>
      <w:marTop w:val="0"/>
      <w:marBottom w:val="0"/>
      <w:divBdr>
        <w:top w:val="none" w:sz="0" w:space="0" w:color="auto"/>
        <w:left w:val="none" w:sz="0" w:space="0" w:color="auto"/>
        <w:bottom w:val="none" w:sz="0" w:space="0" w:color="auto"/>
        <w:right w:val="none" w:sz="0" w:space="0" w:color="auto"/>
      </w:divBdr>
    </w:div>
    <w:div w:id="1254975054">
      <w:bodyDiv w:val="1"/>
      <w:marLeft w:val="0"/>
      <w:marRight w:val="0"/>
      <w:marTop w:val="0"/>
      <w:marBottom w:val="0"/>
      <w:divBdr>
        <w:top w:val="none" w:sz="0" w:space="0" w:color="auto"/>
        <w:left w:val="none" w:sz="0" w:space="0" w:color="auto"/>
        <w:bottom w:val="none" w:sz="0" w:space="0" w:color="auto"/>
        <w:right w:val="none" w:sz="0" w:space="0" w:color="auto"/>
      </w:divBdr>
    </w:div>
    <w:div w:id="1474173548">
      <w:bodyDiv w:val="1"/>
      <w:marLeft w:val="0"/>
      <w:marRight w:val="0"/>
      <w:marTop w:val="0"/>
      <w:marBottom w:val="0"/>
      <w:divBdr>
        <w:top w:val="none" w:sz="0" w:space="0" w:color="auto"/>
        <w:left w:val="none" w:sz="0" w:space="0" w:color="auto"/>
        <w:bottom w:val="none" w:sz="0" w:space="0" w:color="auto"/>
        <w:right w:val="none" w:sz="0" w:space="0" w:color="auto"/>
      </w:divBdr>
    </w:div>
    <w:div w:id="1986473510">
      <w:bodyDiv w:val="1"/>
      <w:marLeft w:val="0"/>
      <w:marRight w:val="0"/>
      <w:marTop w:val="0"/>
      <w:marBottom w:val="0"/>
      <w:divBdr>
        <w:top w:val="none" w:sz="0" w:space="0" w:color="auto"/>
        <w:left w:val="none" w:sz="0" w:space="0" w:color="auto"/>
        <w:bottom w:val="none" w:sz="0" w:space="0" w:color="auto"/>
        <w:right w:val="none" w:sz="0" w:space="0" w:color="auto"/>
      </w:divBdr>
    </w:div>
    <w:div w:id="2097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F922EB-73D9-41EE-9EB3-6966813D802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6CBC3720-597E-4AF8-B293-A58F0277664D}">
      <dgm:prSet phldrT="[Text]"/>
      <dgm:spPr/>
      <dgm:t>
        <a:bodyPr/>
        <a:lstStyle/>
        <a:p>
          <a:r>
            <a:rPr lang="en-US"/>
            <a:t>CAR</a:t>
          </a:r>
        </a:p>
      </dgm:t>
    </dgm:pt>
    <dgm:pt modelId="{A8455A1F-5126-43B7-BA44-880BB0D5A45D}" type="parTrans" cxnId="{06B020A2-29B4-45EE-8E03-EFAE0D920D65}">
      <dgm:prSet/>
      <dgm:spPr/>
      <dgm:t>
        <a:bodyPr/>
        <a:lstStyle/>
        <a:p>
          <a:endParaRPr lang="en-US"/>
        </a:p>
      </dgm:t>
    </dgm:pt>
    <dgm:pt modelId="{BC0F46EB-E2B7-4C81-AA4F-446BEAD01C5F}" type="sibTrans" cxnId="{06B020A2-29B4-45EE-8E03-EFAE0D920D65}">
      <dgm:prSet/>
      <dgm:spPr/>
      <dgm:t>
        <a:bodyPr/>
        <a:lstStyle/>
        <a:p>
          <a:endParaRPr lang="en-US"/>
        </a:p>
      </dgm:t>
    </dgm:pt>
    <dgm:pt modelId="{90F39B0B-692E-43DC-B9FF-9E74C8A144E9}">
      <dgm:prSet phldrT="[Text]"/>
      <dgm:spPr/>
      <dgm:t>
        <a:bodyPr/>
        <a:lstStyle/>
        <a:p>
          <a:r>
            <a:rPr lang="en-US"/>
            <a:t>TIER 1-CAPITAL</a:t>
          </a:r>
        </a:p>
      </dgm:t>
    </dgm:pt>
    <dgm:pt modelId="{31C959B8-FA2E-4A90-8AA0-19E469D67F3D}" type="parTrans" cxnId="{3E13C5E8-1BEF-4C7B-B3C1-280D5FB4C302}">
      <dgm:prSet/>
      <dgm:spPr/>
      <dgm:t>
        <a:bodyPr/>
        <a:lstStyle/>
        <a:p>
          <a:endParaRPr lang="en-US"/>
        </a:p>
      </dgm:t>
    </dgm:pt>
    <dgm:pt modelId="{CE1BBC80-63E4-4AB7-8C3B-3DEAB7976317}" type="sibTrans" cxnId="{3E13C5E8-1BEF-4C7B-B3C1-280D5FB4C302}">
      <dgm:prSet/>
      <dgm:spPr/>
      <dgm:t>
        <a:bodyPr/>
        <a:lstStyle/>
        <a:p>
          <a:endParaRPr lang="en-US"/>
        </a:p>
      </dgm:t>
    </dgm:pt>
    <dgm:pt modelId="{A6D360C4-3362-4BC3-9242-473A3576CF7A}">
      <dgm:prSet phldrT="[Text]"/>
      <dgm:spPr/>
      <dgm:t>
        <a:bodyPr/>
        <a:lstStyle/>
        <a:p>
          <a:r>
            <a:rPr lang="en-US"/>
            <a:t>TIER 2 -CAPITAL</a:t>
          </a:r>
        </a:p>
      </dgm:t>
    </dgm:pt>
    <dgm:pt modelId="{4F96959C-DCED-4F1D-A373-CF8FDB2DCAAB}" type="parTrans" cxnId="{17302DDF-2BDF-43ED-A138-34ED2DA4C4B4}">
      <dgm:prSet/>
      <dgm:spPr/>
      <dgm:t>
        <a:bodyPr/>
        <a:lstStyle/>
        <a:p>
          <a:endParaRPr lang="en-US"/>
        </a:p>
      </dgm:t>
    </dgm:pt>
    <dgm:pt modelId="{FC17DF82-FA34-406D-A6F0-88FF8C18FD76}" type="sibTrans" cxnId="{17302DDF-2BDF-43ED-A138-34ED2DA4C4B4}">
      <dgm:prSet/>
      <dgm:spPr/>
      <dgm:t>
        <a:bodyPr/>
        <a:lstStyle/>
        <a:p>
          <a:endParaRPr lang="en-US"/>
        </a:p>
      </dgm:t>
    </dgm:pt>
    <dgm:pt modelId="{E5EAF4B9-AEC4-4488-958B-8DF70A37DBA2}" type="pres">
      <dgm:prSet presAssocID="{DFF922EB-73D9-41EE-9EB3-6966813D8026}" presName="Name0" presStyleCnt="0">
        <dgm:presLayoutVars>
          <dgm:chPref val="1"/>
          <dgm:dir/>
          <dgm:animOne val="branch"/>
          <dgm:animLvl val="lvl"/>
          <dgm:resizeHandles val="exact"/>
        </dgm:presLayoutVars>
      </dgm:prSet>
      <dgm:spPr/>
    </dgm:pt>
    <dgm:pt modelId="{DE09221C-F051-4DA4-8F4D-C199CEA5273E}" type="pres">
      <dgm:prSet presAssocID="{6CBC3720-597E-4AF8-B293-A58F0277664D}" presName="root1" presStyleCnt="0"/>
      <dgm:spPr/>
    </dgm:pt>
    <dgm:pt modelId="{3D93A230-4355-48B9-9746-2A7AD3B91CC3}" type="pres">
      <dgm:prSet presAssocID="{6CBC3720-597E-4AF8-B293-A58F0277664D}" presName="LevelOneTextNode" presStyleLbl="node0" presStyleIdx="0" presStyleCnt="1" custScaleX="71626" custScaleY="36309">
        <dgm:presLayoutVars>
          <dgm:chPref val="3"/>
        </dgm:presLayoutVars>
      </dgm:prSet>
      <dgm:spPr/>
    </dgm:pt>
    <dgm:pt modelId="{074BDE07-8BD3-4987-A8D7-69DFF5F2EC24}" type="pres">
      <dgm:prSet presAssocID="{6CBC3720-597E-4AF8-B293-A58F0277664D}" presName="level2hierChild" presStyleCnt="0"/>
      <dgm:spPr/>
    </dgm:pt>
    <dgm:pt modelId="{7B043D72-C55C-477F-ADF9-4F0D82A78F87}" type="pres">
      <dgm:prSet presAssocID="{31C959B8-FA2E-4A90-8AA0-19E469D67F3D}" presName="conn2-1" presStyleLbl="parChTrans1D2" presStyleIdx="0" presStyleCnt="2"/>
      <dgm:spPr/>
    </dgm:pt>
    <dgm:pt modelId="{9149A6A7-4924-436D-B2A8-F26C58E47405}" type="pres">
      <dgm:prSet presAssocID="{31C959B8-FA2E-4A90-8AA0-19E469D67F3D}" presName="connTx" presStyleLbl="parChTrans1D2" presStyleIdx="0" presStyleCnt="2"/>
      <dgm:spPr/>
    </dgm:pt>
    <dgm:pt modelId="{CC610AE1-8406-4D83-B735-C1AF38DB9A1C}" type="pres">
      <dgm:prSet presAssocID="{90F39B0B-692E-43DC-B9FF-9E74C8A144E9}" presName="root2" presStyleCnt="0"/>
      <dgm:spPr/>
    </dgm:pt>
    <dgm:pt modelId="{42E8BD7C-0017-402F-9FB1-55F293487A2A}" type="pres">
      <dgm:prSet presAssocID="{90F39B0B-692E-43DC-B9FF-9E74C8A144E9}" presName="LevelTwoTextNode" presStyleLbl="node2" presStyleIdx="0" presStyleCnt="2">
        <dgm:presLayoutVars>
          <dgm:chPref val="3"/>
        </dgm:presLayoutVars>
      </dgm:prSet>
      <dgm:spPr/>
    </dgm:pt>
    <dgm:pt modelId="{1276ECFF-63C0-4129-B82C-A7A30ED107C1}" type="pres">
      <dgm:prSet presAssocID="{90F39B0B-692E-43DC-B9FF-9E74C8A144E9}" presName="level3hierChild" presStyleCnt="0"/>
      <dgm:spPr/>
    </dgm:pt>
    <dgm:pt modelId="{A61727FF-024F-4CC2-AA90-D349819062F2}" type="pres">
      <dgm:prSet presAssocID="{4F96959C-DCED-4F1D-A373-CF8FDB2DCAAB}" presName="conn2-1" presStyleLbl="parChTrans1D2" presStyleIdx="1" presStyleCnt="2"/>
      <dgm:spPr/>
    </dgm:pt>
    <dgm:pt modelId="{552687B0-F605-43EA-8BD0-E4441158F46B}" type="pres">
      <dgm:prSet presAssocID="{4F96959C-DCED-4F1D-A373-CF8FDB2DCAAB}" presName="connTx" presStyleLbl="parChTrans1D2" presStyleIdx="1" presStyleCnt="2"/>
      <dgm:spPr/>
    </dgm:pt>
    <dgm:pt modelId="{AE1A5830-90F6-4739-8192-91117109D13F}" type="pres">
      <dgm:prSet presAssocID="{A6D360C4-3362-4BC3-9242-473A3576CF7A}" presName="root2" presStyleCnt="0"/>
      <dgm:spPr/>
    </dgm:pt>
    <dgm:pt modelId="{C062B182-4FCE-4ABF-8B3E-0768B25E8D78}" type="pres">
      <dgm:prSet presAssocID="{A6D360C4-3362-4BC3-9242-473A3576CF7A}" presName="LevelTwoTextNode" presStyleLbl="node2" presStyleIdx="1" presStyleCnt="2">
        <dgm:presLayoutVars>
          <dgm:chPref val="3"/>
        </dgm:presLayoutVars>
      </dgm:prSet>
      <dgm:spPr/>
    </dgm:pt>
    <dgm:pt modelId="{312280E2-8CC8-4973-8546-F0B0B7AD1DEC}" type="pres">
      <dgm:prSet presAssocID="{A6D360C4-3362-4BC3-9242-473A3576CF7A}" presName="level3hierChild" presStyleCnt="0"/>
      <dgm:spPr/>
    </dgm:pt>
  </dgm:ptLst>
  <dgm:cxnLst>
    <dgm:cxn modelId="{1A154F1F-8904-4D2C-9100-F0C28007D4D1}" type="presOf" srcId="{DFF922EB-73D9-41EE-9EB3-6966813D8026}" destId="{E5EAF4B9-AEC4-4488-958B-8DF70A37DBA2}" srcOrd="0" destOrd="0" presId="urn:microsoft.com/office/officeart/2008/layout/HorizontalMultiLevelHierarchy"/>
    <dgm:cxn modelId="{BD3DFE21-3057-43E6-87BD-2B6152AC6879}" type="presOf" srcId="{90F39B0B-692E-43DC-B9FF-9E74C8A144E9}" destId="{42E8BD7C-0017-402F-9FB1-55F293487A2A}" srcOrd="0" destOrd="0" presId="urn:microsoft.com/office/officeart/2008/layout/HorizontalMultiLevelHierarchy"/>
    <dgm:cxn modelId="{94F6E43C-E4B7-406D-8B51-28C2513FD7D3}" type="presOf" srcId="{6CBC3720-597E-4AF8-B293-A58F0277664D}" destId="{3D93A230-4355-48B9-9746-2A7AD3B91CC3}" srcOrd="0" destOrd="0" presId="urn:microsoft.com/office/officeart/2008/layout/HorizontalMultiLevelHierarchy"/>
    <dgm:cxn modelId="{96433843-8BE7-4097-8B44-1F220ECEFB60}" type="presOf" srcId="{4F96959C-DCED-4F1D-A373-CF8FDB2DCAAB}" destId="{552687B0-F605-43EA-8BD0-E4441158F46B}" srcOrd="1" destOrd="0" presId="urn:microsoft.com/office/officeart/2008/layout/HorizontalMultiLevelHierarchy"/>
    <dgm:cxn modelId="{BF30A651-64B1-4773-A50B-E6177220EF65}" type="presOf" srcId="{4F96959C-DCED-4F1D-A373-CF8FDB2DCAAB}" destId="{A61727FF-024F-4CC2-AA90-D349819062F2}" srcOrd="0" destOrd="0" presId="urn:microsoft.com/office/officeart/2008/layout/HorizontalMultiLevelHierarchy"/>
    <dgm:cxn modelId="{06B020A2-29B4-45EE-8E03-EFAE0D920D65}" srcId="{DFF922EB-73D9-41EE-9EB3-6966813D8026}" destId="{6CBC3720-597E-4AF8-B293-A58F0277664D}" srcOrd="0" destOrd="0" parTransId="{A8455A1F-5126-43B7-BA44-880BB0D5A45D}" sibTransId="{BC0F46EB-E2B7-4C81-AA4F-446BEAD01C5F}"/>
    <dgm:cxn modelId="{B32DF8A3-0BFF-43D7-B2EC-0AA9F4F4FD36}" type="presOf" srcId="{31C959B8-FA2E-4A90-8AA0-19E469D67F3D}" destId="{7B043D72-C55C-477F-ADF9-4F0D82A78F87}" srcOrd="0" destOrd="0" presId="urn:microsoft.com/office/officeart/2008/layout/HorizontalMultiLevelHierarchy"/>
    <dgm:cxn modelId="{0E4527AE-D2D0-47D5-BAFF-78FDD43EC1FE}" type="presOf" srcId="{A6D360C4-3362-4BC3-9242-473A3576CF7A}" destId="{C062B182-4FCE-4ABF-8B3E-0768B25E8D78}" srcOrd="0" destOrd="0" presId="urn:microsoft.com/office/officeart/2008/layout/HorizontalMultiLevelHierarchy"/>
    <dgm:cxn modelId="{17302DDF-2BDF-43ED-A138-34ED2DA4C4B4}" srcId="{6CBC3720-597E-4AF8-B293-A58F0277664D}" destId="{A6D360C4-3362-4BC3-9242-473A3576CF7A}" srcOrd="1" destOrd="0" parTransId="{4F96959C-DCED-4F1D-A373-CF8FDB2DCAAB}" sibTransId="{FC17DF82-FA34-406D-A6F0-88FF8C18FD76}"/>
    <dgm:cxn modelId="{3E13C5E8-1BEF-4C7B-B3C1-280D5FB4C302}" srcId="{6CBC3720-597E-4AF8-B293-A58F0277664D}" destId="{90F39B0B-692E-43DC-B9FF-9E74C8A144E9}" srcOrd="0" destOrd="0" parTransId="{31C959B8-FA2E-4A90-8AA0-19E469D67F3D}" sibTransId="{CE1BBC80-63E4-4AB7-8C3B-3DEAB7976317}"/>
    <dgm:cxn modelId="{1A9AE6EB-AA6D-408A-9BFB-836ED987EA69}" type="presOf" srcId="{31C959B8-FA2E-4A90-8AA0-19E469D67F3D}" destId="{9149A6A7-4924-436D-B2A8-F26C58E47405}" srcOrd="1" destOrd="0" presId="urn:microsoft.com/office/officeart/2008/layout/HorizontalMultiLevelHierarchy"/>
    <dgm:cxn modelId="{6C3C4E21-D7F5-4BD2-B588-90B7AB55A598}" type="presParOf" srcId="{E5EAF4B9-AEC4-4488-958B-8DF70A37DBA2}" destId="{DE09221C-F051-4DA4-8F4D-C199CEA5273E}" srcOrd="0" destOrd="0" presId="urn:microsoft.com/office/officeart/2008/layout/HorizontalMultiLevelHierarchy"/>
    <dgm:cxn modelId="{7B8D5CB6-E36C-4309-9E87-61C415AE4AA9}" type="presParOf" srcId="{DE09221C-F051-4DA4-8F4D-C199CEA5273E}" destId="{3D93A230-4355-48B9-9746-2A7AD3B91CC3}" srcOrd="0" destOrd="0" presId="urn:microsoft.com/office/officeart/2008/layout/HorizontalMultiLevelHierarchy"/>
    <dgm:cxn modelId="{FDA2B199-DBF6-460E-827F-A61F2F023BDD}" type="presParOf" srcId="{DE09221C-F051-4DA4-8F4D-C199CEA5273E}" destId="{074BDE07-8BD3-4987-A8D7-69DFF5F2EC24}" srcOrd="1" destOrd="0" presId="urn:microsoft.com/office/officeart/2008/layout/HorizontalMultiLevelHierarchy"/>
    <dgm:cxn modelId="{C21998E4-5E55-487F-994B-D220157F6820}" type="presParOf" srcId="{074BDE07-8BD3-4987-A8D7-69DFF5F2EC24}" destId="{7B043D72-C55C-477F-ADF9-4F0D82A78F87}" srcOrd="0" destOrd="0" presId="urn:microsoft.com/office/officeart/2008/layout/HorizontalMultiLevelHierarchy"/>
    <dgm:cxn modelId="{75035ABA-D480-4F79-AEFC-1D2E9CEAEAC1}" type="presParOf" srcId="{7B043D72-C55C-477F-ADF9-4F0D82A78F87}" destId="{9149A6A7-4924-436D-B2A8-F26C58E47405}" srcOrd="0" destOrd="0" presId="urn:microsoft.com/office/officeart/2008/layout/HorizontalMultiLevelHierarchy"/>
    <dgm:cxn modelId="{FBFF7B15-2A7B-4D31-A66B-5783BA54B828}" type="presParOf" srcId="{074BDE07-8BD3-4987-A8D7-69DFF5F2EC24}" destId="{CC610AE1-8406-4D83-B735-C1AF38DB9A1C}" srcOrd="1" destOrd="0" presId="urn:microsoft.com/office/officeart/2008/layout/HorizontalMultiLevelHierarchy"/>
    <dgm:cxn modelId="{8ECDDF19-342F-47DF-890B-0D003075D20C}" type="presParOf" srcId="{CC610AE1-8406-4D83-B735-C1AF38DB9A1C}" destId="{42E8BD7C-0017-402F-9FB1-55F293487A2A}" srcOrd="0" destOrd="0" presId="urn:microsoft.com/office/officeart/2008/layout/HorizontalMultiLevelHierarchy"/>
    <dgm:cxn modelId="{4B62C0C8-C462-4530-AF54-1E8BDB162306}" type="presParOf" srcId="{CC610AE1-8406-4D83-B735-C1AF38DB9A1C}" destId="{1276ECFF-63C0-4129-B82C-A7A30ED107C1}" srcOrd="1" destOrd="0" presId="urn:microsoft.com/office/officeart/2008/layout/HorizontalMultiLevelHierarchy"/>
    <dgm:cxn modelId="{79BF47AD-462B-46E0-A61E-33105398441A}" type="presParOf" srcId="{074BDE07-8BD3-4987-A8D7-69DFF5F2EC24}" destId="{A61727FF-024F-4CC2-AA90-D349819062F2}" srcOrd="2" destOrd="0" presId="urn:microsoft.com/office/officeart/2008/layout/HorizontalMultiLevelHierarchy"/>
    <dgm:cxn modelId="{28CE2436-7083-41E7-B881-7E3E7F26FCD7}" type="presParOf" srcId="{A61727FF-024F-4CC2-AA90-D349819062F2}" destId="{552687B0-F605-43EA-8BD0-E4441158F46B}" srcOrd="0" destOrd="0" presId="urn:microsoft.com/office/officeart/2008/layout/HorizontalMultiLevelHierarchy"/>
    <dgm:cxn modelId="{48E795F0-7B97-46D2-87C5-2E320BE856B5}" type="presParOf" srcId="{074BDE07-8BD3-4987-A8D7-69DFF5F2EC24}" destId="{AE1A5830-90F6-4739-8192-91117109D13F}" srcOrd="3" destOrd="0" presId="urn:microsoft.com/office/officeart/2008/layout/HorizontalMultiLevelHierarchy"/>
    <dgm:cxn modelId="{A3083231-D524-4A6F-AC84-E40779FCD125}" type="presParOf" srcId="{AE1A5830-90F6-4739-8192-91117109D13F}" destId="{C062B182-4FCE-4ABF-8B3E-0768B25E8D78}" srcOrd="0" destOrd="0" presId="urn:microsoft.com/office/officeart/2008/layout/HorizontalMultiLevelHierarchy"/>
    <dgm:cxn modelId="{16E94DC6-623E-4957-AF51-552FA862E291}" type="presParOf" srcId="{AE1A5830-90F6-4739-8192-91117109D13F}" destId="{312280E2-8CC8-4973-8546-F0B0B7AD1DEC}"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727FF-024F-4CC2-AA90-D349819062F2}">
      <dsp:nvSpPr>
        <dsp:cNvPr id="0" name=""/>
        <dsp:cNvSpPr/>
      </dsp:nvSpPr>
      <dsp:spPr>
        <a:xfrm>
          <a:off x="973271" y="1280160"/>
          <a:ext cx="319118" cy="304037"/>
        </a:xfrm>
        <a:custGeom>
          <a:avLst/>
          <a:gdLst/>
          <a:ahLst/>
          <a:cxnLst/>
          <a:rect l="0" t="0" r="0" b="0"/>
          <a:pathLst>
            <a:path>
              <a:moveTo>
                <a:pt x="0" y="0"/>
              </a:moveTo>
              <a:lnTo>
                <a:pt x="159559" y="0"/>
              </a:lnTo>
              <a:lnTo>
                <a:pt x="159559" y="304037"/>
              </a:lnTo>
              <a:lnTo>
                <a:pt x="319118" y="3040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21811" y="1421159"/>
        <a:ext cx="22038" cy="22038"/>
      </dsp:txXfrm>
    </dsp:sp>
    <dsp:sp modelId="{7B043D72-C55C-477F-ADF9-4F0D82A78F87}">
      <dsp:nvSpPr>
        <dsp:cNvPr id="0" name=""/>
        <dsp:cNvSpPr/>
      </dsp:nvSpPr>
      <dsp:spPr>
        <a:xfrm>
          <a:off x="973271" y="976122"/>
          <a:ext cx="319118" cy="304038"/>
        </a:xfrm>
        <a:custGeom>
          <a:avLst/>
          <a:gdLst/>
          <a:ahLst/>
          <a:cxnLst/>
          <a:rect l="0" t="0" r="0" b="0"/>
          <a:pathLst>
            <a:path>
              <a:moveTo>
                <a:pt x="0" y="304038"/>
              </a:moveTo>
              <a:lnTo>
                <a:pt x="159559" y="304038"/>
              </a:lnTo>
              <a:lnTo>
                <a:pt x="159559" y="0"/>
              </a:lnTo>
              <a:lnTo>
                <a:pt x="3191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21811" y="1117121"/>
        <a:ext cx="22038" cy="22038"/>
      </dsp:txXfrm>
    </dsp:sp>
    <dsp:sp modelId="{3D93A230-4355-48B9-9746-2A7AD3B91CC3}">
      <dsp:nvSpPr>
        <dsp:cNvPr id="0" name=""/>
        <dsp:cNvSpPr/>
      </dsp:nvSpPr>
      <dsp:spPr>
        <a:xfrm rot="16200000">
          <a:off x="334241" y="1105943"/>
          <a:ext cx="929626" cy="3484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CAR</a:t>
          </a:r>
        </a:p>
      </dsp:txBody>
      <dsp:txXfrm>
        <a:off x="334241" y="1105943"/>
        <a:ext cx="929626" cy="348432"/>
      </dsp:txXfrm>
    </dsp:sp>
    <dsp:sp modelId="{42E8BD7C-0017-402F-9FB1-55F293487A2A}">
      <dsp:nvSpPr>
        <dsp:cNvPr id="0" name=""/>
        <dsp:cNvSpPr/>
      </dsp:nvSpPr>
      <dsp:spPr>
        <a:xfrm>
          <a:off x="1292389" y="732891"/>
          <a:ext cx="1595591" cy="486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TIER 1-CAPITAL</a:t>
          </a:r>
        </a:p>
      </dsp:txBody>
      <dsp:txXfrm>
        <a:off x="1292389" y="732891"/>
        <a:ext cx="1595591" cy="486460"/>
      </dsp:txXfrm>
    </dsp:sp>
    <dsp:sp modelId="{C062B182-4FCE-4ABF-8B3E-0768B25E8D78}">
      <dsp:nvSpPr>
        <dsp:cNvPr id="0" name=""/>
        <dsp:cNvSpPr/>
      </dsp:nvSpPr>
      <dsp:spPr>
        <a:xfrm>
          <a:off x="1292389" y="1340967"/>
          <a:ext cx="1595591" cy="4864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TIER 2 -CAPITAL</a:t>
          </a:r>
        </a:p>
      </dsp:txBody>
      <dsp:txXfrm>
        <a:off x="1292389" y="1340967"/>
        <a:ext cx="1595591" cy="48646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672</Words>
  <Characters>3525</Characters>
  <Application>Microsoft Office Word</Application>
  <DocSecurity>0</DocSecurity>
  <Lines>106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2024-06-13T08:04:00Z</dcterms:created>
  <dcterms:modified xsi:type="dcterms:W3CDTF">2024-06-13T13:13:00Z</dcterms:modified>
</cp:coreProperties>
</file>