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62AB9" w14:textId="77777777" w:rsidR="005175DB" w:rsidRDefault="005175DB">
      <w:r>
        <w:t xml:space="preserve">Cloud computing has significantly impacted the banking sector, offering various benefits and transforming traditional banking operations. </w:t>
      </w:r>
    </w:p>
    <w:p w14:paraId="00819B27" w14:textId="4C84D647" w:rsidR="00A034C0" w:rsidRDefault="00A034C0">
      <w:pPr>
        <w:rPr>
          <w:lang w:val="en-IN"/>
        </w:rPr>
      </w:pPr>
      <w:r>
        <w:rPr>
          <w:lang w:val="en-IN"/>
        </w:rPr>
        <w:t xml:space="preserve">Factors for adapting cloud -as per </w:t>
      </w:r>
      <w:r w:rsidR="003A2EDD">
        <w:rPr>
          <w:lang w:val="en-IN"/>
        </w:rPr>
        <w:t>British</w:t>
      </w:r>
      <w:r>
        <w:rPr>
          <w:lang w:val="en-IN"/>
        </w:rPr>
        <w:t xml:space="preserve"> bank </w:t>
      </w:r>
      <w:r w:rsidR="003A2EDD">
        <w:rPr>
          <w:lang w:val="en-IN"/>
        </w:rPr>
        <w:t>association</w:t>
      </w:r>
      <w:r>
        <w:rPr>
          <w:lang w:val="en-IN"/>
        </w:rPr>
        <w:t xml:space="preserve"> </w:t>
      </w:r>
    </w:p>
    <w:p w14:paraId="7BEC87D2" w14:textId="77777777" w:rsidR="00A07303" w:rsidRPr="00A07303" w:rsidRDefault="00A07303" w:rsidP="00A0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 and Agility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236D63" w14:textId="77777777" w:rsidR="00A07303" w:rsidRPr="00A07303" w:rsidRDefault="00A07303" w:rsidP="00A07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Accelerates the development and deployment of new banking services and applications.</w:t>
      </w:r>
    </w:p>
    <w:p w14:paraId="36285099" w14:textId="77777777" w:rsidR="00A07303" w:rsidRPr="00A07303" w:rsidRDefault="00A07303" w:rsidP="00A07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Enables banks to quickly adapt to market changes and customer needs.</w:t>
      </w:r>
    </w:p>
    <w:p w14:paraId="0B045CF4" w14:textId="1A8B0E40" w:rsidR="00A034C0" w:rsidRDefault="00A034C0">
      <w:pPr>
        <w:rPr>
          <w:lang w:val="en-IN"/>
        </w:rPr>
      </w:pPr>
      <w:r>
        <w:rPr>
          <w:lang w:val="en-IN"/>
        </w:rPr>
        <w:t xml:space="preserve">Agility innovation in which cloud service increases </w:t>
      </w:r>
      <w:r w:rsidR="003A2EDD">
        <w:rPr>
          <w:lang w:val="en-IN"/>
        </w:rPr>
        <w:t>the banks</w:t>
      </w:r>
      <w:r>
        <w:rPr>
          <w:lang w:val="en-IN"/>
        </w:rPr>
        <w:t xml:space="preserve"> to be more productive and efficient and also </w:t>
      </w:r>
      <w:r w:rsidR="003A2EDD">
        <w:rPr>
          <w:lang w:val="en-IN"/>
        </w:rPr>
        <w:t>enhance</w:t>
      </w:r>
      <w:r>
        <w:rPr>
          <w:lang w:val="en-IN"/>
        </w:rPr>
        <w:t xml:space="preserve"> agility it also helps banks to reallocate resource from </w:t>
      </w:r>
      <w:r w:rsidR="003A2EDD">
        <w:rPr>
          <w:lang w:val="en-IN"/>
        </w:rPr>
        <w:t>its</w:t>
      </w:r>
      <w:r>
        <w:rPr>
          <w:lang w:val="en-IN"/>
        </w:rPr>
        <w:t xml:space="preserve"> infrastructure and innovation is </w:t>
      </w:r>
      <w:r w:rsidR="003A2EDD">
        <w:rPr>
          <w:lang w:val="en-IN"/>
        </w:rPr>
        <w:t>supported towards</w:t>
      </w:r>
      <w:r>
        <w:rPr>
          <w:lang w:val="en-IN"/>
        </w:rPr>
        <w:t xml:space="preserve"> the fast delivery of product and the required services from the bank </w:t>
      </w:r>
    </w:p>
    <w:p w14:paraId="32FC02AF" w14:textId="77777777" w:rsidR="00A07303" w:rsidRPr="00A07303" w:rsidRDefault="00A034C0" w:rsidP="00A07303">
      <w:pPr>
        <w:pStyle w:val="NormalWeb"/>
      </w:pPr>
      <w:r>
        <w:rPr>
          <w:lang w:val="en-IN"/>
        </w:rPr>
        <w:t xml:space="preserve"> </w:t>
      </w:r>
      <w:r w:rsidR="00A07303" w:rsidRPr="00A07303">
        <w:rPr>
          <w:b/>
          <w:bCs/>
        </w:rPr>
        <w:t>Security</w:t>
      </w:r>
      <w:r w:rsidR="00A07303" w:rsidRPr="00A07303">
        <w:t>:</w:t>
      </w:r>
    </w:p>
    <w:p w14:paraId="08FFB06B" w14:textId="77777777" w:rsidR="00A07303" w:rsidRPr="00A07303" w:rsidRDefault="00A07303" w:rsidP="00A073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Offers robust security measures, including encryption, multi-factor authentication, and compliance with regulatory standards.</w:t>
      </w:r>
    </w:p>
    <w:p w14:paraId="541FBF3A" w14:textId="77777777" w:rsidR="00A07303" w:rsidRPr="00A07303" w:rsidRDefault="00A07303" w:rsidP="00A073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Enables regular security updates and patches.</w:t>
      </w:r>
    </w:p>
    <w:p w14:paraId="18A8FD79" w14:textId="6D3A5CCE" w:rsidR="00853500" w:rsidRDefault="00A034C0">
      <w:pPr>
        <w:rPr>
          <w:lang w:val="en-IN"/>
        </w:rPr>
      </w:pPr>
      <w:r>
        <w:rPr>
          <w:lang w:val="en-IN"/>
        </w:rPr>
        <w:t xml:space="preserve">It mitigates risk that are </w:t>
      </w:r>
      <w:r w:rsidR="003A2EDD">
        <w:rPr>
          <w:lang w:val="en-IN"/>
        </w:rPr>
        <w:t>a raised</w:t>
      </w:r>
      <w:r>
        <w:rPr>
          <w:lang w:val="en-IN"/>
        </w:rPr>
        <w:t xml:space="preserve"> thought traditional </w:t>
      </w:r>
      <w:r w:rsidR="003A2EDD">
        <w:rPr>
          <w:lang w:val="en-IN"/>
        </w:rPr>
        <w:t>process</w:t>
      </w:r>
      <w:r>
        <w:rPr>
          <w:lang w:val="en-IN"/>
        </w:rPr>
        <w:t xml:space="preserve"> </w:t>
      </w:r>
      <w:r w:rsidR="002B1C73">
        <w:rPr>
          <w:lang w:val="en-IN"/>
        </w:rPr>
        <w:t xml:space="preserve">of limited capacity and </w:t>
      </w:r>
      <w:r w:rsidR="003A2EDD">
        <w:rPr>
          <w:lang w:val="en-IN"/>
        </w:rPr>
        <w:t>concerns</w:t>
      </w:r>
      <w:r w:rsidR="002B1C73">
        <w:rPr>
          <w:lang w:val="en-IN"/>
        </w:rPr>
        <w:t xml:space="preserve"> regarding the security are also managed more properly by cloud computing</w:t>
      </w:r>
      <w:r>
        <w:rPr>
          <w:lang w:val="en-IN"/>
        </w:rPr>
        <w:t xml:space="preserve"> </w:t>
      </w:r>
    </w:p>
    <w:p w14:paraId="71B23FE8" w14:textId="37ABF3E3" w:rsidR="00A07303" w:rsidRPr="00A07303" w:rsidRDefault="002B1C73" w:rsidP="00A07303">
      <w:pPr>
        <w:pStyle w:val="NormalWeb"/>
      </w:pPr>
      <w:r>
        <w:rPr>
          <w:lang w:val="en-IN"/>
        </w:rPr>
        <w:t>C</w:t>
      </w:r>
      <w:r w:rsidR="003A2EDD" w:rsidRPr="00A07303">
        <w:rPr>
          <w:b/>
          <w:bCs/>
        </w:rPr>
        <w:t>oust</w:t>
      </w:r>
      <w:r w:rsidR="00A07303" w:rsidRPr="00A07303">
        <w:rPr>
          <w:b/>
          <w:bCs/>
        </w:rPr>
        <w:t xml:space="preserve"> Efficiency</w:t>
      </w:r>
      <w:r w:rsidR="00A07303" w:rsidRPr="00A07303">
        <w:t>:</w:t>
      </w:r>
    </w:p>
    <w:p w14:paraId="5E4A8970" w14:textId="77777777" w:rsidR="00A07303" w:rsidRPr="00A07303" w:rsidRDefault="00A07303" w:rsidP="00A07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Reduces capital expenditure on IT infrastructure.</w:t>
      </w:r>
    </w:p>
    <w:p w14:paraId="6C8765BA" w14:textId="77777777" w:rsidR="00A07303" w:rsidRPr="00A07303" w:rsidRDefault="00A07303" w:rsidP="00A07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Lowers maintenance costs due to the pay-as-you-go model.</w:t>
      </w:r>
    </w:p>
    <w:p w14:paraId="00E9E6DD" w14:textId="62A1D3DB" w:rsidR="002B1C73" w:rsidRDefault="002B1C73">
      <w:pPr>
        <w:rPr>
          <w:lang w:val="en-IN"/>
        </w:rPr>
      </w:pPr>
      <w:r>
        <w:rPr>
          <w:lang w:val="en-IN"/>
        </w:rPr>
        <w:t>cost of capital expenditure is very low as compared to the traditional</w:t>
      </w:r>
      <w:r w:rsidR="008970A8">
        <w:rPr>
          <w:lang w:val="en-IN"/>
        </w:rPr>
        <w:t xml:space="preserve"> mean cost related to </w:t>
      </w:r>
      <w:r w:rsidR="003A2EDD">
        <w:rPr>
          <w:lang w:val="en-IN"/>
        </w:rPr>
        <w:t>maintenance</w:t>
      </w:r>
      <w:r w:rsidR="008970A8">
        <w:rPr>
          <w:lang w:val="en-IN"/>
        </w:rPr>
        <w:t xml:space="preserve"> purchasing and housing for the required hardware can be avoided with cloud usage </w:t>
      </w:r>
      <w:r>
        <w:rPr>
          <w:lang w:val="en-IN"/>
        </w:rPr>
        <w:t xml:space="preserve"> </w:t>
      </w:r>
    </w:p>
    <w:p w14:paraId="37D735D0" w14:textId="77777777" w:rsidR="00A07303" w:rsidRPr="00A07303" w:rsidRDefault="00A07303" w:rsidP="00A0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384101" w14:textId="77777777" w:rsidR="00A07303" w:rsidRPr="00A07303" w:rsidRDefault="00A07303" w:rsidP="00A07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Enhances data storage, processing, and analytics capabilities.</w:t>
      </w:r>
    </w:p>
    <w:p w14:paraId="4722B867" w14:textId="77777777" w:rsidR="00A07303" w:rsidRPr="00A07303" w:rsidRDefault="00A07303" w:rsidP="00A07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Provides advanced tools for big data analysis and real-time insights.</w:t>
      </w:r>
    </w:p>
    <w:p w14:paraId="56EADE80" w14:textId="734C51A4" w:rsidR="002B1C73" w:rsidRDefault="002B1C73">
      <w:pPr>
        <w:rPr>
          <w:lang w:val="en-IN"/>
        </w:rPr>
      </w:pPr>
      <w:r>
        <w:rPr>
          <w:lang w:val="en-IN"/>
        </w:rPr>
        <w:t>It helps banks to track and scan the transactions that</w:t>
      </w:r>
      <w:r w:rsidR="008970A8">
        <w:rPr>
          <w:lang w:val="en-IN"/>
        </w:rPr>
        <w:t xml:space="preserve"> took place every sec and records it in the cloud platform so this helps to handle huge </w:t>
      </w:r>
      <w:r w:rsidR="003A2EDD">
        <w:rPr>
          <w:lang w:val="en-IN"/>
        </w:rPr>
        <w:t>data,</w:t>
      </w:r>
      <w:r w:rsidR="008970A8">
        <w:rPr>
          <w:lang w:val="en-IN"/>
        </w:rPr>
        <w:t xml:space="preserve"> secured and safe from fraud and money laundering </w:t>
      </w:r>
      <w:r w:rsidR="003A2EDD">
        <w:rPr>
          <w:lang w:val="en-IN"/>
        </w:rPr>
        <w:t>decreases. The</w:t>
      </w:r>
      <w:r w:rsidR="008970A8">
        <w:rPr>
          <w:lang w:val="en-IN"/>
        </w:rPr>
        <w:t xml:space="preserve"> relation between </w:t>
      </w:r>
      <w:r w:rsidR="005175DB">
        <w:rPr>
          <w:lang w:val="en-IN"/>
        </w:rPr>
        <w:t xml:space="preserve">the client and the bank will be improved and the </w:t>
      </w:r>
      <w:r w:rsidR="003A2EDD">
        <w:rPr>
          <w:lang w:val="en-IN"/>
        </w:rPr>
        <w:t>access</w:t>
      </w:r>
      <w:r w:rsidR="005175DB">
        <w:rPr>
          <w:lang w:val="en-IN"/>
        </w:rPr>
        <w:t xml:space="preserve"> over the data will be easy and avoids confusion and also the information about the customer </w:t>
      </w:r>
      <w:r w:rsidR="003A2EDD">
        <w:rPr>
          <w:lang w:val="en-IN"/>
        </w:rPr>
        <w:t>behaviour</w:t>
      </w:r>
      <w:r w:rsidR="005175DB">
        <w:rPr>
          <w:lang w:val="en-IN"/>
        </w:rPr>
        <w:t xml:space="preserve"> can be easily noticed and put into </w:t>
      </w:r>
      <w:r w:rsidR="003A2EDD">
        <w:rPr>
          <w:lang w:val="en-IN"/>
        </w:rPr>
        <w:t>consideration,</w:t>
      </w:r>
      <w:r w:rsidR="005175DB">
        <w:rPr>
          <w:lang w:val="en-IN"/>
        </w:rPr>
        <w:t xml:space="preserve"> this will allow banks to learn about their preferences and will help to serve in </w:t>
      </w:r>
      <w:proofErr w:type="spellStart"/>
      <w:r w:rsidR="005175DB">
        <w:rPr>
          <w:lang w:val="en-IN"/>
        </w:rPr>
        <w:t>abetter</w:t>
      </w:r>
      <w:proofErr w:type="spellEnd"/>
      <w:r w:rsidR="005175DB">
        <w:rPr>
          <w:lang w:val="en-IN"/>
        </w:rPr>
        <w:t xml:space="preserve"> </w:t>
      </w:r>
      <w:r w:rsidR="003A2EDD">
        <w:rPr>
          <w:lang w:val="en-IN"/>
        </w:rPr>
        <w:t>way.</w:t>
      </w:r>
    </w:p>
    <w:p w14:paraId="24FD45E9" w14:textId="77777777" w:rsidR="005175DB" w:rsidRPr="005175DB" w:rsidRDefault="005175DB" w:rsidP="00517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5DB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5175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6FCC7F" w14:textId="77777777" w:rsidR="005175DB" w:rsidRPr="005175DB" w:rsidRDefault="005175DB" w:rsidP="00517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5DB">
        <w:rPr>
          <w:rFonts w:ascii="Times New Roman" w:eastAsia="Times New Roman" w:hAnsi="Times New Roman" w:cs="Times New Roman"/>
          <w:sz w:val="24"/>
          <w:szCs w:val="24"/>
        </w:rPr>
        <w:t>Allows banks to easily scale their IT resources up or down based on demand.</w:t>
      </w:r>
    </w:p>
    <w:p w14:paraId="1304D73E" w14:textId="1A09169F" w:rsidR="005175DB" w:rsidRDefault="005175DB" w:rsidP="00517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5DB">
        <w:rPr>
          <w:rFonts w:ascii="Times New Roman" w:eastAsia="Times New Roman" w:hAnsi="Times New Roman" w:cs="Times New Roman"/>
          <w:sz w:val="24"/>
          <w:szCs w:val="24"/>
        </w:rPr>
        <w:lastRenderedPageBreak/>
        <w:t>Facilitates handling of large volumes of transactions and data.</w:t>
      </w:r>
    </w:p>
    <w:p w14:paraId="4830E79A" w14:textId="77777777" w:rsidR="00A07303" w:rsidRPr="00A07303" w:rsidRDefault="00A07303" w:rsidP="00A07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303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of Cloud Computing in Banking</w:t>
      </w:r>
    </w:p>
    <w:p w14:paraId="1731D544" w14:textId="77777777" w:rsidR="00A07303" w:rsidRPr="00A07303" w:rsidRDefault="00A07303" w:rsidP="00A07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Relationship Management (CRM)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CF4EC4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Improves customer service with cloud-based CRM systems.</w:t>
      </w:r>
    </w:p>
    <w:p w14:paraId="450DB6D4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Integrates customer data for personalized services.</w:t>
      </w:r>
    </w:p>
    <w:p w14:paraId="3A2BC625" w14:textId="77777777" w:rsidR="00A07303" w:rsidRPr="00A07303" w:rsidRDefault="00A07303" w:rsidP="00A07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Mobile and Online Banking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5D5F32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Supports mobile banking apps and online banking platforms.</w:t>
      </w:r>
    </w:p>
    <w:p w14:paraId="6519CE43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Enhances user experience with seamless access to banking services.</w:t>
      </w:r>
    </w:p>
    <w:p w14:paraId="2A0ADD06" w14:textId="77777777" w:rsidR="00A07303" w:rsidRPr="00A07303" w:rsidRDefault="00A07303" w:rsidP="00A07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Core Banking Systems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CDEC3E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Modernizes core banking systems for improved efficiency and performance.</w:t>
      </w:r>
    </w:p>
    <w:p w14:paraId="5FED0826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Facilitates integration with third-party services and APIs.</w:t>
      </w:r>
    </w:p>
    <w:p w14:paraId="235E7CF0" w14:textId="77777777" w:rsidR="00A07303" w:rsidRPr="00A07303" w:rsidRDefault="00A07303" w:rsidP="00A07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 and Risk Management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EBC293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Utilizes machine learning and AI on cloud platforms for real-time fraud detection.</w:t>
      </w:r>
    </w:p>
    <w:p w14:paraId="419474DE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Enhances risk management with predictive analytics.</w:t>
      </w:r>
    </w:p>
    <w:p w14:paraId="77543F0A" w14:textId="77777777" w:rsidR="00A07303" w:rsidRPr="00A07303" w:rsidRDefault="00A07303" w:rsidP="00A07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Compliance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034D07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Streamlines compliance processes with automated reporting and monitoring tools.</w:t>
      </w:r>
    </w:p>
    <w:p w14:paraId="77AF030B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Ensures adherence to regulatory requirements through centralized data management.</w:t>
      </w:r>
    </w:p>
    <w:p w14:paraId="1014C6CB" w14:textId="77777777" w:rsidR="00A07303" w:rsidRPr="00A07303" w:rsidRDefault="00A07303" w:rsidP="00A07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and Productivity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1B0EB9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Enables better collaboration among employees with cloud-based tools and platforms.</w:t>
      </w:r>
    </w:p>
    <w:p w14:paraId="111092CC" w14:textId="77777777" w:rsidR="00A07303" w:rsidRPr="00A07303" w:rsidRDefault="00A07303" w:rsidP="00A07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Increases productivity through remote access to banking systems and data.</w:t>
      </w:r>
    </w:p>
    <w:p w14:paraId="5977D8DA" w14:textId="77777777" w:rsidR="00A07303" w:rsidRPr="00A07303" w:rsidRDefault="00A07303" w:rsidP="00A07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303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 and Considerations</w:t>
      </w:r>
    </w:p>
    <w:p w14:paraId="65C71A2E" w14:textId="77777777" w:rsidR="00A07303" w:rsidRPr="00A07303" w:rsidRDefault="00A07303" w:rsidP="00A073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 and Security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4441A3" w14:textId="77777777" w:rsidR="00A07303" w:rsidRPr="00A07303" w:rsidRDefault="00A07303" w:rsidP="00A07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Ensuring the protection of sensitive customer information.</w:t>
      </w:r>
    </w:p>
    <w:p w14:paraId="2F96C569" w14:textId="77777777" w:rsidR="00A07303" w:rsidRPr="00A07303" w:rsidRDefault="00A07303" w:rsidP="00A07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Complying with data protection regulations such as GDPR and CCPA.</w:t>
      </w:r>
    </w:p>
    <w:p w14:paraId="462013A7" w14:textId="77777777" w:rsidR="00A07303" w:rsidRPr="00A07303" w:rsidRDefault="00A07303" w:rsidP="00A073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Legacy Systems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9EC495" w14:textId="77777777" w:rsidR="00A07303" w:rsidRPr="00A07303" w:rsidRDefault="00A07303" w:rsidP="00A07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Integrating cloud solutions with existing legacy systems can be complex.</w:t>
      </w:r>
    </w:p>
    <w:p w14:paraId="00E87CF2" w14:textId="77777777" w:rsidR="00A07303" w:rsidRPr="00A07303" w:rsidRDefault="00A07303" w:rsidP="00A07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Requires careful planning and execution to avoid disruptions.</w:t>
      </w:r>
    </w:p>
    <w:p w14:paraId="720E0A35" w14:textId="77777777" w:rsidR="00A07303" w:rsidRPr="00A07303" w:rsidRDefault="00A07303" w:rsidP="00A073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Vendor Lock-In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AA793C" w14:textId="77777777" w:rsidR="00A07303" w:rsidRPr="00A07303" w:rsidRDefault="00A07303" w:rsidP="00A07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Dependence on a single cloud provider can pose risks.</w:t>
      </w:r>
    </w:p>
    <w:p w14:paraId="69F9BA0D" w14:textId="77777777" w:rsidR="00A07303" w:rsidRPr="00A07303" w:rsidRDefault="00A07303" w:rsidP="00A07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Strategies for multi-cloud or hybrid cloud environments can mitigate this risk.</w:t>
      </w:r>
    </w:p>
    <w:p w14:paraId="2C637AF6" w14:textId="77777777" w:rsidR="00A07303" w:rsidRPr="00A07303" w:rsidRDefault="00A07303" w:rsidP="00A073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and Regulatory Issues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70FAF7" w14:textId="77777777" w:rsidR="00A07303" w:rsidRPr="00A07303" w:rsidRDefault="00A07303" w:rsidP="00A07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Navigating the regulatory landscape across different regions.</w:t>
      </w:r>
    </w:p>
    <w:p w14:paraId="2C58E080" w14:textId="77777777" w:rsidR="00A07303" w:rsidRPr="00A07303" w:rsidRDefault="00A07303" w:rsidP="00A07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Ensuring continuous compliance with evolving regulations.</w:t>
      </w:r>
    </w:p>
    <w:p w14:paraId="68A95142" w14:textId="77777777" w:rsidR="00A07303" w:rsidRPr="00A07303" w:rsidRDefault="00A07303" w:rsidP="00A07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303">
        <w:rPr>
          <w:rFonts w:ascii="Times New Roman" w:eastAsia="Times New Roman" w:hAnsi="Times New Roman" w:cs="Times New Roman"/>
          <w:b/>
          <w:bCs/>
          <w:sz w:val="27"/>
          <w:szCs w:val="27"/>
        </w:rPr>
        <w:t>Future Trends</w:t>
      </w:r>
    </w:p>
    <w:p w14:paraId="429F4B1C" w14:textId="77777777" w:rsidR="00A07303" w:rsidRPr="00A07303" w:rsidRDefault="00A07303" w:rsidP="00A073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AI and Machine Learning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114DDB" w14:textId="77777777" w:rsidR="00A07303" w:rsidRPr="00A07303" w:rsidRDefault="00A07303" w:rsidP="00A07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Increased use of AI and ML for predictive analytics, customer service, and fraud detection.</w:t>
      </w:r>
    </w:p>
    <w:p w14:paraId="56E4BED9" w14:textId="77777777" w:rsidR="00A07303" w:rsidRPr="00A07303" w:rsidRDefault="00A07303" w:rsidP="00A07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Enhanced automation and decision-making processes.</w:t>
      </w:r>
    </w:p>
    <w:p w14:paraId="207A6114" w14:textId="77777777" w:rsidR="00A07303" w:rsidRPr="00A07303" w:rsidRDefault="00A07303" w:rsidP="00A073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Blockchain and Distributed Ledger Technology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EAF25E" w14:textId="77777777" w:rsidR="00A07303" w:rsidRPr="00A07303" w:rsidRDefault="00A07303" w:rsidP="00A07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Potential for blockchain to streamline processes such as cross-border payments and smart contracts.</w:t>
      </w:r>
    </w:p>
    <w:p w14:paraId="7D60B92A" w14:textId="77777777" w:rsidR="00A07303" w:rsidRPr="00A07303" w:rsidRDefault="00A07303" w:rsidP="00A07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Increased transparency and security in transactions.</w:t>
      </w:r>
    </w:p>
    <w:p w14:paraId="02AC893B" w14:textId="77777777" w:rsidR="00A07303" w:rsidRPr="00A07303" w:rsidRDefault="00A07303" w:rsidP="00A073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Open Banking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195169" w14:textId="77777777" w:rsidR="00A07303" w:rsidRPr="00A07303" w:rsidRDefault="00A07303" w:rsidP="00A07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Adoption of open banking standards to promote interoperability and innovation.</w:t>
      </w:r>
    </w:p>
    <w:p w14:paraId="5654ECBB" w14:textId="77777777" w:rsidR="00A07303" w:rsidRPr="00A07303" w:rsidRDefault="00A07303" w:rsidP="00A07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Collaboration with fintech companies to offer new services.</w:t>
      </w:r>
    </w:p>
    <w:p w14:paraId="130AACA2" w14:textId="77777777" w:rsidR="00A07303" w:rsidRPr="00A07303" w:rsidRDefault="00A07303" w:rsidP="00A073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b/>
          <w:bCs/>
          <w:sz w:val="24"/>
          <w:szCs w:val="24"/>
        </w:rPr>
        <w:t>Hybrid and Multi-Cloud Strategies</w:t>
      </w:r>
      <w:r w:rsidRPr="00A07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8D8F81" w14:textId="77777777" w:rsidR="00A07303" w:rsidRPr="00A07303" w:rsidRDefault="00A07303" w:rsidP="00A07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Combining public and private clouds for greater flexibility.</w:t>
      </w:r>
    </w:p>
    <w:p w14:paraId="20C71ABC" w14:textId="77777777" w:rsidR="00A07303" w:rsidRPr="00A07303" w:rsidRDefault="00A07303" w:rsidP="00A07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Utilizing multiple cloud providers to avoid vendor lock-in and improve resilience.</w:t>
      </w:r>
    </w:p>
    <w:p w14:paraId="11597418" w14:textId="77777777" w:rsidR="00A07303" w:rsidRPr="00A07303" w:rsidRDefault="00A07303" w:rsidP="00A0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03">
        <w:rPr>
          <w:rFonts w:ascii="Times New Roman" w:eastAsia="Times New Roman" w:hAnsi="Times New Roman" w:cs="Times New Roman"/>
          <w:sz w:val="24"/>
          <w:szCs w:val="24"/>
        </w:rPr>
        <w:t>Cloud computing is transforming the banking industry by enabling greater efficiency, innovation, and customer-centric services. As technology evolves, banks will continue to leverage cloud solutions to stay competitive and meet the growing demands of the digital age.</w:t>
      </w:r>
    </w:p>
    <w:tbl>
      <w:tblPr>
        <w:tblW w:w="7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1071"/>
        <w:gridCol w:w="1146"/>
        <w:gridCol w:w="1310"/>
        <w:gridCol w:w="1146"/>
        <w:gridCol w:w="1354"/>
      </w:tblGrid>
      <w:tr w:rsidR="00A07303" w:rsidRPr="00A07303" w14:paraId="2BAA0707" w14:textId="77777777" w:rsidTr="003A2EDD">
        <w:trPr>
          <w:trHeight w:val="1728"/>
        </w:trPr>
        <w:tc>
          <w:tcPr>
            <w:tcW w:w="1106" w:type="dxa"/>
            <w:shd w:val="clear" w:color="auto" w:fill="auto"/>
            <w:vAlign w:val="center"/>
            <w:hideMark/>
          </w:tcPr>
          <w:p w14:paraId="2C48180B" w14:textId="77777777" w:rsidR="00A07303" w:rsidRPr="00A07303" w:rsidRDefault="00A07303" w:rsidP="00A07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303">
              <w:rPr>
                <w:rFonts w:ascii="Calibri" w:eastAsia="Times New Roman" w:hAnsi="Calibri" w:cs="Calibri"/>
                <w:b/>
                <w:bCs/>
                <w:color w:val="000000"/>
              </w:rPr>
              <w:t>Bank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14:paraId="64CF26E6" w14:textId="77777777" w:rsidR="00A07303" w:rsidRPr="00A07303" w:rsidRDefault="00A07303" w:rsidP="00A07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303">
              <w:rPr>
                <w:rFonts w:ascii="Calibri" w:eastAsia="Times New Roman" w:hAnsi="Calibri" w:cs="Calibri"/>
                <w:b/>
                <w:bCs/>
                <w:color w:val="000000"/>
              </w:rPr>
              <w:t>Cloud Adoption (%)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7A143BA3" w14:textId="77777777" w:rsidR="00A07303" w:rsidRPr="00A07303" w:rsidRDefault="00A07303" w:rsidP="00A07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303">
              <w:rPr>
                <w:rFonts w:ascii="Calibri" w:eastAsia="Times New Roman" w:hAnsi="Calibri" w:cs="Calibri"/>
                <w:b/>
                <w:bCs/>
                <w:color w:val="000000"/>
              </w:rPr>
              <w:t>IT Cost Reduction (%)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7540E69B" w14:textId="77777777" w:rsidR="00A07303" w:rsidRPr="00A07303" w:rsidRDefault="00A07303" w:rsidP="00A07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303">
              <w:rPr>
                <w:rFonts w:ascii="Calibri" w:eastAsia="Times New Roman" w:hAnsi="Calibri" w:cs="Calibri"/>
                <w:b/>
                <w:bCs/>
                <w:color w:val="000000"/>
              </w:rPr>
              <w:t>Operational Efficiency Increase (%)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55DBB507" w14:textId="77777777" w:rsidR="00A07303" w:rsidRPr="00A07303" w:rsidRDefault="00A07303" w:rsidP="00A07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303">
              <w:rPr>
                <w:rFonts w:ascii="Calibri" w:eastAsia="Times New Roman" w:hAnsi="Calibri" w:cs="Calibri"/>
                <w:b/>
                <w:bCs/>
                <w:color w:val="000000"/>
              </w:rPr>
              <w:t>Security Incidents Reduction (%)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68BCBCF6" w14:textId="77777777" w:rsidR="00A07303" w:rsidRPr="00A07303" w:rsidRDefault="00A07303" w:rsidP="00A07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303">
              <w:rPr>
                <w:rFonts w:ascii="Calibri" w:eastAsia="Times New Roman" w:hAnsi="Calibri" w:cs="Calibri"/>
                <w:b/>
                <w:bCs/>
                <w:color w:val="000000"/>
              </w:rPr>
              <w:t>Customer Engagement Increase (%)</w:t>
            </w:r>
          </w:p>
        </w:tc>
      </w:tr>
      <w:tr w:rsidR="00A07303" w:rsidRPr="00A07303" w14:paraId="71821EB3" w14:textId="77777777" w:rsidTr="003A2EDD">
        <w:trPr>
          <w:trHeight w:val="576"/>
        </w:trPr>
        <w:tc>
          <w:tcPr>
            <w:tcW w:w="1106" w:type="dxa"/>
            <w:shd w:val="clear" w:color="auto" w:fill="auto"/>
            <w:vAlign w:val="center"/>
            <w:hideMark/>
          </w:tcPr>
          <w:p w14:paraId="34DC7355" w14:textId="77777777" w:rsidR="00A07303" w:rsidRPr="00A07303" w:rsidRDefault="00A07303" w:rsidP="00A0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JPMorgan Chase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14:paraId="08414AEA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4BE3ADFA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789627C8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55%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33812D4D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7DB3B05F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</w:tr>
      <w:tr w:rsidR="00A07303" w:rsidRPr="00A07303" w14:paraId="7A75E41B" w14:textId="77777777" w:rsidTr="003A2EDD">
        <w:trPr>
          <w:trHeight w:val="576"/>
        </w:trPr>
        <w:tc>
          <w:tcPr>
            <w:tcW w:w="1106" w:type="dxa"/>
            <w:shd w:val="clear" w:color="auto" w:fill="auto"/>
            <w:vAlign w:val="center"/>
            <w:hideMark/>
          </w:tcPr>
          <w:p w14:paraId="27E0B257" w14:textId="77777777" w:rsidR="00A07303" w:rsidRPr="00A07303" w:rsidRDefault="00A07303" w:rsidP="00A0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14:paraId="72266A13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46C05D21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5CC18923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07B6EEDE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0FF66463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</w:tr>
      <w:tr w:rsidR="00A07303" w:rsidRPr="00A07303" w14:paraId="774A97BC" w14:textId="77777777" w:rsidTr="003A2EDD">
        <w:trPr>
          <w:trHeight w:val="576"/>
        </w:trPr>
        <w:tc>
          <w:tcPr>
            <w:tcW w:w="1106" w:type="dxa"/>
            <w:shd w:val="clear" w:color="auto" w:fill="auto"/>
            <w:vAlign w:val="center"/>
            <w:hideMark/>
          </w:tcPr>
          <w:p w14:paraId="17BCDE37" w14:textId="77777777" w:rsidR="00A07303" w:rsidRPr="00A07303" w:rsidRDefault="00A07303" w:rsidP="00A0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Wells Fargo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14:paraId="43A5A7F1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452898B9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4177D8AF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48%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2DC0857F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4DCE1D65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</w:tr>
      <w:tr w:rsidR="00A07303" w:rsidRPr="00A07303" w14:paraId="24D2CA8C" w14:textId="77777777" w:rsidTr="003A2EDD">
        <w:trPr>
          <w:trHeight w:val="288"/>
        </w:trPr>
        <w:tc>
          <w:tcPr>
            <w:tcW w:w="1106" w:type="dxa"/>
            <w:shd w:val="clear" w:color="auto" w:fill="auto"/>
            <w:vAlign w:val="center"/>
            <w:hideMark/>
          </w:tcPr>
          <w:p w14:paraId="03AC04A8" w14:textId="77777777" w:rsidR="00A07303" w:rsidRPr="00A07303" w:rsidRDefault="00A07303" w:rsidP="00A0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Citigroup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14:paraId="793B5028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737F1866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6DD7E349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0E374675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44%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7996AF5F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</w:tr>
      <w:tr w:rsidR="00A07303" w:rsidRPr="00A07303" w14:paraId="547C6152" w14:textId="77777777" w:rsidTr="003A2EDD">
        <w:trPr>
          <w:trHeight w:val="576"/>
        </w:trPr>
        <w:tc>
          <w:tcPr>
            <w:tcW w:w="1106" w:type="dxa"/>
            <w:shd w:val="clear" w:color="auto" w:fill="auto"/>
            <w:vAlign w:val="center"/>
            <w:hideMark/>
          </w:tcPr>
          <w:p w14:paraId="45B11A3A" w14:textId="77777777" w:rsidR="00A07303" w:rsidRPr="00A07303" w:rsidRDefault="00A07303" w:rsidP="00A0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Goldman Sachs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14:paraId="3647F3D8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016277F8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39A1180C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74244B9D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46%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2F75C7BD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</w:tr>
      <w:tr w:rsidR="00A07303" w:rsidRPr="00A07303" w14:paraId="26E689BE" w14:textId="77777777" w:rsidTr="003A2EDD">
        <w:trPr>
          <w:trHeight w:val="576"/>
        </w:trPr>
        <w:tc>
          <w:tcPr>
            <w:tcW w:w="1106" w:type="dxa"/>
            <w:shd w:val="clear" w:color="auto" w:fill="auto"/>
            <w:vAlign w:val="center"/>
            <w:hideMark/>
          </w:tcPr>
          <w:p w14:paraId="42AE6174" w14:textId="77777777" w:rsidR="00A07303" w:rsidRPr="00A07303" w:rsidRDefault="00A07303" w:rsidP="00A0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Morgan Stanley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14:paraId="36DD70BD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683AD514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340D58FA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7F1B3A32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43%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52948607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</w:tr>
      <w:tr w:rsidR="00A07303" w:rsidRPr="00A07303" w14:paraId="799383BB" w14:textId="77777777" w:rsidTr="003A2EDD">
        <w:trPr>
          <w:trHeight w:val="288"/>
        </w:trPr>
        <w:tc>
          <w:tcPr>
            <w:tcW w:w="1106" w:type="dxa"/>
            <w:shd w:val="clear" w:color="auto" w:fill="auto"/>
            <w:vAlign w:val="center"/>
            <w:hideMark/>
          </w:tcPr>
          <w:p w14:paraId="753F17A2" w14:textId="77777777" w:rsidR="00A07303" w:rsidRPr="00A07303" w:rsidRDefault="00A07303" w:rsidP="00A0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U.S. Bank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14:paraId="107AAB59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4D0C34CC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68524A2D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51%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37F498E8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41%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3D9AE016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</w:tr>
      <w:tr w:rsidR="00A07303" w:rsidRPr="00A07303" w14:paraId="3BEC7ED8" w14:textId="77777777" w:rsidTr="003A2EDD">
        <w:trPr>
          <w:trHeight w:val="864"/>
        </w:trPr>
        <w:tc>
          <w:tcPr>
            <w:tcW w:w="1106" w:type="dxa"/>
            <w:shd w:val="clear" w:color="auto" w:fill="auto"/>
            <w:vAlign w:val="center"/>
            <w:hideMark/>
          </w:tcPr>
          <w:p w14:paraId="2B3191AC" w14:textId="77777777" w:rsidR="00A07303" w:rsidRPr="00A07303" w:rsidRDefault="00A07303" w:rsidP="00A0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PNC Financial Services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14:paraId="27AE4D53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64D93AD2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7CB28A0A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68669638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429DD476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</w:tr>
      <w:tr w:rsidR="00A07303" w:rsidRPr="00A07303" w14:paraId="5CEF9C7A" w14:textId="77777777" w:rsidTr="003A2EDD">
        <w:trPr>
          <w:trHeight w:val="576"/>
        </w:trPr>
        <w:tc>
          <w:tcPr>
            <w:tcW w:w="1106" w:type="dxa"/>
            <w:shd w:val="clear" w:color="auto" w:fill="auto"/>
            <w:vAlign w:val="center"/>
            <w:hideMark/>
          </w:tcPr>
          <w:p w14:paraId="7ACB0559" w14:textId="77777777" w:rsidR="00A07303" w:rsidRPr="00A07303" w:rsidRDefault="00A07303" w:rsidP="00A0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Capital One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14:paraId="59992237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62C26D9F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57F45E34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54CECAE1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1C49F959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</w:tr>
      <w:tr w:rsidR="00A07303" w:rsidRPr="00A07303" w14:paraId="1317CA75" w14:textId="77777777" w:rsidTr="003A2EDD">
        <w:trPr>
          <w:trHeight w:val="288"/>
        </w:trPr>
        <w:tc>
          <w:tcPr>
            <w:tcW w:w="1106" w:type="dxa"/>
            <w:shd w:val="clear" w:color="auto" w:fill="auto"/>
            <w:vAlign w:val="center"/>
            <w:hideMark/>
          </w:tcPr>
          <w:p w14:paraId="6F52E9A8" w14:textId="77777777" w:rsidR="00A07303" w:rsidRPr="00A07303" w:rsidRDefault="00A07303" w:rsidP="00A0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TD Bank</w:t>
            </w:r>
          </w:p>
        </w:tc>
        <w:tc>
          <w:tcPr>
            <w:tcW w:w="1071" w:type="dxa"/>
            <w:shd w:val="clear" w:color="auto" w:fill="auto"/>
            <w:vAlign w:val="center"/>
            <w:hideMark/>
          </w:tcPr>
          <w:p w14:paraId="5ADABD1A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14957E04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14:paraId="461024B0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1146" w:type="dxa"/>
            <w:shd w:val="clear" w:color="auto" w:fill="auto"/>
            <w:vAlign w:val="center"/>
            <w:hideMark/>
          </w:tcPr>
          <w:p w14:paraId="745C477B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44%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132F27D5" w14:textId="77777777" w:rsidR="00A07303" w:rsidRPr="00A07303" w:rsidRDefault="00A07303" w:rsidP="00A0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303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</w:tr>
    </w:tbl>
    <w:p w14:paraId="69B58503" w14:textId="2F4269F3" w:rsidR="00A07303" w:rsidRDefault="003A2EDD" w:rsidP="00A07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E75975" wp14:editId="0D8291F7">
            <wp:extent cx="4572000" cy="351282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BF58E6-505B-4A2E-843F-258C7463ED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82D13F" w14:textId="77777777" w:rsidR="00A07303" w:rsidRPr="005175DB" w:rsidRDefault="00A07303" w:rsidP="00A07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77A1CA" w14:textId="77777777" w:rsidR="005175DB" w:rsidRDefault="005175DB">
      <w:pPr>
        <w:rPr>
          <w:lang w:val="en-IN"/>
        </w:rPr>
      </w:pPr>
    </w:p>
    <w:p w14:paraId="6DCBEB6F" w14:textId="77777777" w:rsidR="005175DB" w:rsidRDefault="005175DB">
      <w:pPr>
        <w:rPr>
          <w:lang w:val="en-IN"/>
        </w:rPr>
      </w:pPr>
    </w:p>
    <w:p w14:paraId="681F8B15" w14:textId="77777777" w:rsidR="008970A8" w:rsidRPr="00A034C0" w:rsidRDefault="008970A8">
      <w:pPr>
        <w:rPr>
          <w:lang w:val="en-IN"/>
        </w:rPr>
      </w:pPr>
    </w:p>
    <w:sectPr w:rsidR="008970A8" w:rsidRPr="00A03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06DA5"/>
    <w:multiLevelType w:val="multilevel"/>
    <w:tmpl w:val="468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C59D7"/>
    <w:multiLevelType w:val="multilevel"/>
    <w:tmpl w:val="B2E6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4342D"/>
    <w:multiLevelType w:val="multilevel"/>
    <w:tmpl w:val="9D12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364BD"/>
    <w:multiLevelType w:val="multilevel"/>
    <w:tmpl w:val="FE04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D2C5D"/>
    <w:multiLevelType w:val="multilevel"/>
    <w:tmpl w:val="3A26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21223"/>
    <w:multiLevelType w:val="multilevel"/>
    <w:tmpl w:val="0BF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63CC3"/>
    <w:multiLevelType w:val="multilevel"/>
    <w:tmpl w:val="AFB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16064"/>
    <w:multiLevelType w:val="multilevel"/>
    <w:tmpl w:val="3020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C0"/>
    <w:rsid w:val="002B1C73"/>
    <w:rsid w:val="003A2EDD"/>
    <w:rsid w:val="005175DB"/>
    <w:rsid w:val="00853500"/>
    <w:rsid w:val="008970A8"/>
    <w:rsid w:val="00A034C0"/>
    <w:rsid w:val="00A0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A59E"/>
  <w15:chartTrackingRefBased/>
  <w15:docId w15:val="{44BD6E39-43E1-484C-89DF-08F21DBA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75D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0730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cloud computing adoption and usage by some of the top banks in the United States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Cloud Adoption 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Sheet1!$A$2:$A$11</c:f>
              <c:strCache>
                <c:ptCount val="10"/>
                <c:pt idx="0">
                  <c:v>JPMorgan Chase</c:v>
                </c:pt>
                <c:pt idx="1">
                  <c:v>Bank of America</c:v>
                </c:pt>
                <c:pt idx="2">
                  <c:v>Wells Fargo</c:v>
                </c:pt>
                <c:pt idx="3">
                  <c:v>Citigroup</c:v>
                </c:pt>
                <c:pt idx="4">
                  <c:v>Goldman Sachs</c:v>
                </c:pt>
                <c:pt idx="5">
                  <c:v>Morgan Stanley</c:v>
                </c:pt>
                <c:pt idx="6">
                  <c:v>U.S. Bank</c:v>
                </c:pt>
                <c:pt idx="7">
                  <c:v>PNC Financial Services</c:v>
                </c:pt>
                <c:pt idx="8">
                  <c:v>Capital One</c:v>
                </c:pt>
                <c:pt idx="9">
                  <c:v>TD Bank</c:v>
                </c:pt>
              </c:strCache>
            </c:strRef>
          </c:cat>
          <c:val>
            <c:numRef>
              <c:f>Sheet1!$B$2:$B$11</c:f>
              <c:numCache>
                <c:formatCode>0%</c:formatCode>
                <c:ptCount val="10"/>
                <c:pt idx="0">
                  <c:v>0.95</c:v>
                </c:pt>
                <c:pt idx="1">
                  <c:v>0.9</c:v>
                </c:pt>
                <c:pt idx="2">
                  <c:v>0.85</c:v>
                </c:pt>
                <c:pt idx="3">
                  <c:v>0.88</c:v>
                </c:pt>
                <c:pt idx="4">
                  <c:v>0.92</c:v>
                </c:pt>
                <c:pt idx="5">
                  <c:v>0.89</c:v>
                </c:pt>
                <c:pt idx="6">
                  <c:v>0.87</c:v>
                </c:pt>
                <c:pt idx="7">
                  <c:v>0.86</c:v>
                </c:pt>
                <c:pt idx="8">
                  <c:v>0.94</c:v>
                </c:pt>
                <c:pt idx="9">
                  <c:v>0.88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7B-4E52-A721-71C9E4D885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IT Cost Reduction 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Sheet1!$A$2:$A$11</c:f>
              <c:strCache>
                <c:ptCount val="10"/>
                <c:pt idx="0">
                  <c:v>JPMorgan Chase</c:v>
                </c:pt>
                <c:pt idx="1">
                  <c:v>Bank of America</c:v>
                </c:pt>
                <c:pt idx="2">
                  <c:v>Wells Fargo</c:v>
                </c:pt>
                <c:pt idx="3">
                  <c:v>Citigroup</c:v>
                </c:pt>
                <c:pt idx="4">
                  <c:v>Goldman Sachs</c:v>
                </c:pt>
                <c:pt idx="5">
                  <c:v>Morgan Stanley</c:v>
                </c:pt>
                <c:pt idx="6">
                  <c:v>U.S. Bank</c:v>
                </c:pt>
                <c:pt idx="7">
                  <c:v>PNC Financial Services</c:v>
                </c:pt>
                <c:pt idx="8">
                  <c:v>Capital One</c:v>
                </c:pt>
                <c:pt idx="9">
                  <c:v>TD Bank</c:v>
                </c:pt>
              </c:strCache>
            </c:strRef>
          </c:cat>
          <c:val>
            <c:numRef>
              <c:f>Sheet1!$C$2:$C$11</c:f>
              <c:numCache>
                <c:formatCode>0%</c:formatCode>
                <c:ptCount val="10"/>
                <c:pt idx="0">
                  <c:v>0.25</c:v>
                </c:pt>
                <c:pt idx="1">
                  <c:v>0.2</c:v>
                </c:pt>
                <c:pt idx="2">
                  <c:v>0.22</c:v>
                </c:pt>
                <c:pt idx="3">
                  <c:v>0.23</c:v>
                </c:pt>
                <c:pt idx="4">
                  <c:v>0.24</c:v>
                </c:pt>
                <c:pt idx="5">
                  <c:v>0.21</c:v>
                </c:pt>
                <c:pt idx="6">
                  <c:v>0.22</c:v>
                </c:pt>
                <c:pt idx="7">
                  <c:v>0.2</c:v>
                </c:pt>
                <c:pt idx="8">
                  <c:v>0.26</c:v>
                </c:pt>
                <c:pt idx="9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7B-4E52-A721-71C9E4D8858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Operational Efficiency Increase (%)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Sheet1!$A$2:$A$11</c:f>
              <c:strCache>
                <c:ptCount val="10"/>
                <c:pt idx="0">
                  <c:v>JPMorgan Chase</c:v>
                </c:pt>
                <c:pt idx="1">
                  <c:v>Bank of America</c:v>
                </c:pt>
                <c:pt idx="2">
                  <c:v>Wells Fargo</c:v>
                </c:pt>
                <c:pt idx="3">
                  <c:v>Citigroup</c:v>
                </c:pt>
                <c:pt idx="4">
                  <c:v>Goldman Sachs</c:v>
                </c:pt>
                <c:pt idx="5">
                  <c:v>Morgan Stanley</c:v>
                </c:pt>
                <c:pt idx="6">
                  <c:v>U.S. Bank</c:v>
                </c:pt>
                <c:pt idx="7">
                  <c:v>PNC Financial Services</c:v>
                </c:pt>
                <c:pt idx="8">
                  <c:v>Capital One</c:v>
                </c:pt>
                <c:pt idx="9">
                  <c:v>TD Bank</c:v>
                </c:pt>
              </c:strCache>
            </c:strRef>
          </c:cat>
          <c:val>
            <c:numRef>
              <c:f>Sheet1!$D$2:$D$11</c:f>
              <c:numCache>
                <c:formatCode>0%</c:formatCode>
                <c:ptCount val="10"/>
                <c:pt idx="0">
                  <c:v>0.55000000000000004</c:v>
                </c:pt>
                <c:pt idx="1">
                  <c:v>0.5</c:v>
                </c:pt>
                <c:pt idx="2">
                  <c:v>0.48</c:v>
                </c:pt>
                <c:pt idx="3">
                  <c:v>0.5</c:v>
                </c:pt>
                <c:pt idx="4">
                  <c:v>0.52</c:v>
                </c:pt>
                <c:pt idx="5">
                  <c:v>0.49</c:v>
                </c:pt>
                <c:pt idx="6">
                  <c:v>0.51</c:v>
                </c:pt>
                <c:pt idx="7">
                  <c:v>0.5</c:v>
                </c:pt>
                <c:pt idx="8">
                  <c:v>0.53</c:v>
                </c:pt>
                <c:pt idx="9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7B-4E52-A721-71C9E4D8858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 Incidents Reduction (%)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Sheet1!$A$2:$A$11</c:f>
              <c:strCache>
                <c:ptCount val="10"/>
                <c:pt idx="0">
                  <c:v>JPMorgan Chase</c:v>
                </c:pt>
                <c:pt idx="1">
                  <c:v>Bank of America</c:v>
                </c:pt>
                <c:pt idx="2">
                  <c:v>Wells Fargo</c:v>
                </c:pt>
                <c:pt idx="3">
                  <c:v>Citigroup</c:v>
                </c:pt>
                <c:pt idx="4">
                  <c:v>Goldman Sachs</c:v>
                </c:pt>
                <c:pt idx="5">
                  <c:v>Morgan Stanley</c:v>
                </c:pt>
                <c:pt idx="6">
                  <c:v>U.S. Bank</c:v>
                </c:pt>
                <c:pt idx="7">
                  <c:v>PNC Financial Services</c:v>
                </c:pt>
                <c:pt idx="8">
                  <c:v>Capital One</c:v>
                </c:pt>
                <c:pt idx="9">
                  <c:v>TD Bank</c:v>
                </c:pt>
              </c:strCache>
            </c:strRef>
          </c:cat>
          <c:val>
            <c:numRef>
              <c:f>Sheet1!$E$2:$E$11</c:f>
              <c:numCache>
                <c:formatCode>0%</c:formatCode>
                <c:ptCount val="10"/>
                <c:pt idx="0">
                  <c:v>0.45</c:v>
                </c:pt>
                <c:pt idx="1">
                  <c:v>0.4</c:v>
                </c:pt>
                <c:pt idx="2">
                  <c:v>0.42</c:v>
                </c:pt>
                <c:pt idx="3">
                  <c:v>0.44</c:v>
                </c:pt>
                <c:pt idx="4">
                  <c:v>0.46</c:v>
                </c:pt>
                <c:pt idx="5">
                  <c:v>0.43</c:v>
                </c:pt>
                <c:pt idx="6">
                  <c:v>0.41</c:v>
                </c:pt>
                <c:pt idx="7">
                  <c:v>0.4</c:v>
                </c:pt>
                <c:pt idx="8">
                  <c:v>0.47</c:v>
                </c:pt>
                <c:pt idx="9">
                  <c:v>0.44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C7B-4E52-A721-71C9E4D8858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Customer Engagement Increase (%)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Sheet1!$A$2:$A$11</c:f>
              <c:strCache>
                <c:ptCount val="10"/>
                <c:pt idx="0">
                  <c:v>JPMorgan Chase</c:v>
                </c:pt>
                <c:pt idx="1">
                  <c:v>Bank of America</c:v>
                </c:pt>
                <c:pt idx="2">
                  <c:v>Wells Fargo</c:v>
                </c:pt>
                <c:pt idx="3">
                  <c:v>Citigroup</c:v>
                </c:pt>
                <c:pt idx="4">
                  <c:v>Goldman Sachs</c:v>
                </c:pt>
                <c:pt idx="5">
                  <c:v>Morgan Stanley</c:v>
                </c:pt>
                <c:pt idx="6">
                  <c:v>U.S. Bank</c:v>
                </c:pt>
                <c:pt idx="7">
                  <c:v>PNC Financial Services</c:v>
                </c:pt>
                <c:pt idx="8">
                  <c:v>Capital One</c:v>
                </c:pt>
                <c:pt idx="9">
                  <c:v>TD Bank</c:v>
                </c:pt>
              </c:strCache>
            </c:strRef>
          </c:cat>
          <c:val>
            <c:numRef>
              <c:f>Sheet1!$F$2:$F$11</c:f>
              <c:numCache>
                <c:formatCode>0%</c:formatCode>
                <c:ptCount val="10"/>
                <c:pt idx="0">
                  <c:v>0.3</c:v>
                </c:pt>
                <c:pt idx="1">
                  <c:v>0.28000000000000003</c:v>
                </c:pt>
                <c:pt idx="2">
                  <c:v>0.26</c:v>
                </c:pt>
                <c:pt idx="3">
                  <c:v>0.27</c:v>
                </c:pt>
                <c:pt idx="4">
                  <c:v>0.28999999999999998</c:v>
                </c:pt>
                <c:pt idx="5">
                  <c:v>0.25</c:v>
                </c:pt>
                <c:pt idx="6">
                  <c:v>0.26</c:v>
                </c:pt>
                <c:pt idx="7">
                  <c:v>0.25</c:v>
                </c:pt>
                <c:pt idx="8">
                  <c:v>0.3</c:v>
                </c:pt>
                <c:pt idx="9">
                  <c:v>0.27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7B-4E52-A721-71C9E4D885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71961728"/>
        <c:axId val="771964680"/>
        <c:axId val="0"/>
      </c:bar3DChart>
      <c:catAx>
        <c:axId val="77196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964680"/>
        <c:crosses val="autoZero"/>
        <c:auto val="1"/>
        <c:lblAlgn val="ctr"/>
        <c:lblOffset val="100"/>
        <c:noMultiLvlLbl val="0"/>
      </c:catAx>
      <c:valAx>
        <c:axId val="771964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96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GOTLA SHIVANI</dc:creator>
  <cp:keywords/>
  <dc:description/>
  <cp:lastModifiedBy>GOTLA SHIVANI</cp:lastModifiedBy>
  <cp:revision>1</cp:revision>
  <dcterms:created xsi:type="dcterms:W3CDTF">2024-07-10T09:44:00Z</dcterms:created>
  <dcterms:modified xsi:type="dcterms:W3CDTF">2024-07-10T11:57:00Z</dcterms:modified>
</cp:coreProperties>
</file>