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Ex1.xml" ContentType="application/vnd.ms-office.chartex+xml"/>
  <Override PartName="/word/charts/style1.xml" ContentType="application/vnd.ms-office.chartstyle+xml"/>
  <Override PartName="/word/charts/colors1.xml" ContentType="application/vnd.ms-office.chartcolorstyle+xml"/>
  <Override PartName="/word/charts/chart1.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2.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3.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93F59D" w14:textId="77777777" w:rsidR="001D46B5" w:rsidRPr="001D46B5" w:rsidRDefault="001D46B5" w:rsidP="001D46B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1D46B5">
        <w:rPr>
          <w:rFonts w:ascii="Times New Roman" w:eastAsia="Times New Roman" w:hAnsi="Times New Roman" w:cs="Times New Roman"/>
          <w:b/>
          <w:bCs/>
          <w:sz w:val="27"/>
          <w:szCs w:val="27"/>
          <w:lang w:eastAsia="en-IN"/>
        </w:rPr>
        <w:t>Volcker Rule</w:t>
      </w:r>
    </w:p>
    <w:p w14:paraId="4BB73447" w14:textId="007C4A1C" w:rsidR="001D46B5" w:rsidRPr="00F2628A" w:rsidRDefault="001D46B5" w:rsidP="00F2628A">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1D46B5">
        <w:rPr>
          <w:rFonts w:ascii="Times New Roman" w:eastAsia="Times New Roman" w:hAnsi="Times New Roman" w:cs="Times New Roman"/>
          <w:sz w:val="24"/>
          <w:szCs w:val="24"/>
          <w:lang w:eastAsia="en-IN"/>
        </w:rPr>
        <w:t>The Volcker Rule is a federal regulation that was part of the Dodd-Frank Wall Street Reform and Consumer Protection Act. It was implemented in response to the financial crisis of 2008 to prevent excessive risk-taking by banks. Named after former Federal Reserve Chairman Paul Volcker, the rule restricts U.S. banks from engaging in certain kinds of speculative activities.</w:t>
      </w:r>
    </w:p>
    <w:p w14:paraId="4E5D69CC" w14:textId="77777777" w:rsidR="001D46B5" w:rsidRPr="001D46B5" w:rsidRDefault="001D46B5" w:rsidP="001D46B5">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1D46B5">
        <w:rPr>
          <w:rFonts w:ascii="Times New Roman" w:eastAsia="Times New Roman" w:hAnsi="Times New Roman" w:cs="Times New Roman"/>
          <w:b/>
          <w:bCs/>
          <w:sz w:val="24"/>
          <w:szCs w:val="24"/>
          <w:lang w:eastAsia="en-IN"/>
        </w:rPr>
        <w:t>Key Provisions</w:t>
      </w:r>
    </w:p>
    <w:p w14:paraId="70B0A76D" w14:textId="77777777" w:rsidR="001D46B5" w:rsidRPr="001D46B5" w:rsidRDefault="001D46B5" w:rsidP="001D46B5">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1D46B5">
        <w:rPr>
          <w:rFonts w:ascii="Times New Roman" w:eastAsia="Times New Roman" w:hAnsi="Times New Roman" w:cs="Times New Roman"/>
          <w:b/>
          <w:bCs/>
          <w:sz w:val="24"/>
          <w:szCs w:val="24"/>
          <w:lang w:eastAsia="en-IN"/>
        </w:rPr>
        <w:t>Proprietary Trading Ban</w:t>
      </w:r>
      <w:r w:rsidRPr="001D46B5">
        <w:rPr>
          <w:rFonts w:ascii="Times New Roman" w:eastAsia="Times New Roman" w:hAnsi="Times New Roman" w:cs="Times New Roman"/>
          <w:sz w:val="24"/>
          <w:szCs w:val="24"/>
          <w:lang w:eastAsia="en-IN"/>
        </w:rPr>
        <w:t>: Banks are prohibited from using their own accounts to trade securities, derivatives, commodity futures, and options for short-term gain. This is to prevent them from making high-risk investments with depositors' money.</w:t>
      </w:r>
    </w:p>
    <w:p w14:paraId="4413E527" w14:textId="77777777" w:rsidR="001D46B5" w:rsidRPr="001D46B5" w:rsidRDefault="001D46B5" w:rsidP="001D46B5">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1D46B5">
        <w:rPr>
          <w:rFonts w:ascii="Times New Roman" w:eastAsia="Times New Roman" w:hAnsi="Times New Roman" w:cs="Times New Roman"/>
          <w:b/>
          <w:bCs/>
          <w:sz w:val="24"/>
          <w:szCs w:val="24"/>
          <w:lang w:eastAsia="en-IN"/>
        </w:rPr>
        <w:t>Investment Limits</w:t>
      </w:r>
      <w:r w:rsidRPr="001D46B5">
        <w:rPr>
          <w:rFonts w:ascii="Times New Roman" w:eastAsia="Times New Roman" w:hAnsi="Times New Roman" w:cs="Times New Roman"/>
          <w:sz w:val="24"/>
          <w:szCs w:val="24"/>
          <w:lang w:eastAsia="en-IN"/>
        </w:rPr>
        <w:t>: Banks are restricted from owning or investing in hedge funds and private equity funds. The intent is to limit the exposure of banks to high-risk assets.</w:t>
      </w:r>
    </w:p>
    <w:p w14:paraId="4A4ADA04" w14:textId="77777777" w:rsidR="001D46B5" w:rsidRPr="001D46B5" w:rsidRDefault="001D46B5" w:rsidP="001D46B5">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1D46B5">
        <w:rPr>
          <w:rFonts w:ascii="Times New Roman" w:eastAsia="Times New Roman" w:hAnsi="Times New Roman" w:cs="Times New Roman"/>
          <w:b/>
          <w:bCs/>
          <w:sz w:val="24"/>
          <w:szCs w:val="24"/>
          <w:lang w:eastAsia="en-IN"/>
        </w:rPr>
        <w:t>Exemptions</w:t>
      </w:r>
      <w:r w:rsidRPr="001D46B5">
        <w:rPr>
          <w:rFonts w:ascii="Times New Roman" w:eastAsia="Times New Roman" w:hAnsi="Times New Roman" w:cs="Times New Roman"/>
          <w:sz w:val="24"/>
          <w:szCs w:val="24"/>
          <w:lang w:eastAsia="en-IN"/>
        </w:rPr>
        <w:t>: There are certain exemptions to the rule, allowing banks to continue trading in government securities, underwriting, market-making, and risk-mitigating hedging.</w:t>
      </w:r>
    </w:p>
    <w:p w14:paraId="349AA4EB" w14:textId="77777777" w:rsidR="001D46B5" w:rsidRPr="001D46B5" w:rsidRDefault="001D46B5" w:rsidP="001D46B5">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1D46B5">
        <w:rPr>
          <w:rFonts w:ascii="Times New Roman" w:eastAsia="Times New Roman" w:hAnsi="Times New Roman" w:cs="Times New Roman"/>
          <w:b/>
          <w:bCs/>
          <w:sz w:val="24"/>
          <w:szCs w:val="24"/>
          <w:lang w:eastAsia="en-IN"/>
        </w:rPr>
        <w:t>Compliance Programs</w:t>
      </w:r>
      <w:r w:rsidRPr="001D46B5">
        <w:rPr>
          <w:rFonts w:ascii="Times New Roman" w:eastAsia="Times New Roman" w:hAnsi="Times New Roman" w:cs="Times New Roman"/>
          <w:sz w:val="24"/>
          <w:szCs w:val="24"/>
          <w:lang w:eastAsia="en-IN"/>
        </w:rPr>
        <w:t>: Banks are required to implement compliance programs to ensure adherence to the Volcker Rule, with larger banks needing more rigorous programs.</w:t>
      </w:r>
    </w:p>
    <w:p w14:paraId="2BB5A091" w14:textId="77777777" w:rsidR="001D46B5" w:rsidRPr="001D46B5" w:rsidRDefault="001D46B5" w:rsidP="001D46B5">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1D46B5">
        <w:rPr>
          <w:rFonts w:ascii="Times New Roman" w:eastAsia="Times New Roman" w:hAnsi="Times New Roman" w:cs="Times New Roman"/>
          <w:b/>
          <w:bCs/>
          <w:sz w:val="24"/>
          <w:szCs w:val="24"/>
          <w:lang w:eastAsia="en-IN"/>
        </w:rPr>
        <w:t>Metrics Reporting</w:t>
      </w:r>
      <w:r w:rsidRPr="001D46B5">
        <w:rPr>
          <w:rFonts w:ascii="Times New Roman" w:eastAsia="Times New Roman" w:hAnsi="Times New Roman" w:cs="Times New Roman"/>
          <w:sz w:val="24"/>
          <w:szCs w:val="24"/>
          <w:lang w:eastAsia="en-IN"/>
        </w:rPr>
        <w:t>: Banks must report certain metrics to regulators to demonstrate their compliance with the rule.</w:t>
      </w:r>
    </w:p>
    <w:p w14:paraId="71DDA24E" w14:textId="77777777" w:rsidR="001D46B5" w:rsidRPr="001D46B5" w:rsidRDefault="001D46B5" w:rsidP="001D46B5">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1D46B5">
        <w:rPr>
          <w:rFonts w:ascii="Times New Roman" w:eastAsia="Times New Roman" w:hAnsi="Times New Roman" w:cs="Times New Roman"/>
          <w:b/>
          <w:bCs/>
          <w:sz w:val="24"/>
          <w:szCs w:val="24"/>
          <w:lang w:eastAsia="en-IN"/>
        </w:rPr>
        <w:t>Impact</w:t>
      </w:r>
    </w:p>
    <w:p w14:paraId="200FC5B1" w14:textId="1F47247A" w:rsidR="001D46B5" w:rsidRDefault="001D46B5" w:rsidP="00E12B11">
      <w:pPr>
        <w:spacing w:before="100" w:beforeAutospacing="1" w:after="100" w:afterAutospacing="1" w:line="240" w:lineRule="auto"/>
        <w:rPr>
          <w:rFonts w:ascii="Times New Roman" w:eastAsia="Times New Roman" w:hAnsi="Times New Roman" w:cs="Times New Roman"/>
          <w:sz w:val="24"/>
          <w:szCs w:val="24"/>
          <w:lang w:eastAsia="en-IN"/>
        </w:rPr>
      </w:pPr>
      <w:r w:rsidRPr="001D46B5">
        <w:rPr>
          <w:rFonts w:ascii="Times New Roman" w:eastAsia="Times New Roman" w:hAnsi="Times New Roman" w:cs="Times New Roman"/>
          <w:sz w:val="24"/>
          <w:szCs w:val="24"/>
          <w:lang w:eastAsia="en-IN"/>
        </w:rPr>
        <w:t>The Volcker Rule aims to reduce the amount of speculative trading by banks, thereby reducing the risk of another financial crisis. It also attempts to reorient banks towards traditional lending and customer services rather than high-risk financial activities.</w:t>
      </w:r>
    </w:p>
    <w:p w14:paraId="074F1E09" w14:textId="77777777" w:rsidR="00E12B11" w:rsidRPr="00E12B11" w:rsidRDefault="00E12B11" w:rsidP="00E12B11">
      <w:pPr>
        <w:spacing w:before="100" w:beforeAutospacing="1" w:after="100" w:afterAutospacing="1" w:line="240" w:lineRule="auto"/>
        <w:rPr>
          <w:rFonts w:ascii="Times New Roman" w:eastAsia="Times New Roman" w:hAnsi="Times New Roman" w:cs="Times New Roman"/>
          <w:sz w:val="24"/>
          <w:szCs w:val="24"/>
          <w:lang w:eastAsia="en-IN"/>
        </w:rPr>
      </w:pPr>
    </w:p>
    <w:tbl>
      <w:tblPr>
        <w:tblStyle w:val="TableGrid"/>
        <w:tblW w:w="0" w:type="auto"/>
        <w:tblLook w:val="04A0" w:firstRow="1" w:lastRow="0" w:firstColumn="1" w:lastColumn="0" w:noHBand="0" w:noVBand="1"/>
      </w:tblPr>
      <w:tblGrid>
        <w:gridCol w:w="4508"/>
        <w:gridCol w:w="4508"/>
      </w:tblGrid>
      <w:tr w:rsidR="00CF1AE2" w14:paraId="2992550B" w14:textId="77777777" w:rsidTr="00CF1AE2">
        <w:tc>
          <w:tcPr>
            <w:tcW w:w="4508" w:type="dxa"/>
          </w:tcPr>
          <w:p w14:paraId="181FDCA6" w14:textId="77777777" w:rsidR="00CF1AE2" w:rsidRDefault="00CF1AE2" w:rsidP="001D46B5">
            <w:pPr>
              <w:spacing w:before="100" w:beforeAutospacing="1" w:after="100" w:afterAutospacing="1"/>
              <w:outlineLvl w:val="2"/>
              <w:rPr>
                <w:rFonts w:ascii="Times New Roman" w:eastAsia="Times New Roman" w:hAnsi="Times New Roman" w:cs="Times New Roman"/>
                <w:b/>
                <w:bCs/>
                <w:sz w:val="27"/>
                <w:szCs w:val="27"/>
                <w:lang w:eastAsia="en-IN"/>
              </w:rPr>
            </w:pPr>
            <w:r w:rsidRPr="001D46B5">
              <w:rPr>
                <w:rFonts w:ascii="Times New Roman" w:eastAsia="Times New Roman" w:hAnsi="Times New Roman" w:cs="Times New Roman"/>
                <w:b/>
                <w:bCs/>
                <w:sz w:val="24"/>
                <w:szCs w:val="24"/>
                <w:lang w:eastAsia="en-IN"/>
              </w:rPr>
              <w:t>Category</w:t>
            </w:r>
          </w:p>
        </w:tc>
        <w:tc>
          <w:tcPr>
            <w:tcW w:w="4508" w:type="dxa"/>
          </w:tcPr>
          <w:p w14:paraId="19609720" w14:textId="77777777" w:rsidR="00CF1AE2" w:rsidRDefault="00CF1AE2" w:rsidP="001D46B5">
            <w:pPr>
              <w:spacing w:before="100" w:beforeAutospacing="1" w:after="100" w:afterAutospacing="1"/>
              <w:outlineLvl w:val="2"/>
              <w:rPr>
                <w:rFonts w:ascii="Times New Roman" w:eastAsia="Times New Roman" w:hAnsi="Times New Roman" w:cs="Times New Roman"/>
                <w:b/>
                <w:bCs/>
                <w:sz w:val="27"/>
                <w:szCs w:val="27"/>
                <w:lang w:eastAsia="en-IN"/>
              </w:rPr>
            </w:pPr>
            <w:r w:rsidRPr="001D46B5">
              <w:rPr>
                <w:rFonts w:ascii="Times New Roman" w:eastAsia="Times New Roman" w:hAnsi="Times New Roman" w:cs="Times New Roman"/>
                <w:b/>
                <w:bCs/>
                <w:sz w:val="24"/>
                <w:szCs w:val="24"/>
                <w:lang w:eastAsia="en-IN"/>
              </w:rPr>
              <w:t>Data</w:t>
            </w:r>
          </w:p>
        </w:tc>
      </w:tr>
      <w:tr w:rsidR="00CF1AE2" w14:paraId="593C2875" w14:textId="77777777" w:rsidTr="00CF4308">
        <w:tc>
          <w:tcPr>
            <w:tcW w:w="4508" w:type="dxa"/>
            <w:vAlign w:val="center"/>
          </w:tcPr>
          <w:p w14:paraId="6DD561D8" w14:textId="77777777" w:rsidR="00CF1AE2" w:rsidRPr="001D46B5" w:rsidRDefault="00CF1AE2" w:rsidP="00CF1AE2">
            <w:pPr>
              <w:rPr>
                <w:rFonts w:ascii="Times New Roman" w:eastAsia="Times New Roman" w:hAnsi="Times New Roman" w:cs="Times New Roman"/>
                <w:sz w:val="24"/>
                <w:szCs w:val="24"/>
                <w:lang w:eastAsia="en-IN"/>
              </w:rPr>
            </w:pPr>
            <w:r w:rsidRPr="001D46B5">
              <w:rPr>
                <w:rFonts w:ascii="Times New Roman" w:eastAsia="Times New Roman" w:hAnsi="Times New Roman" w:cs="Times New Roman"/>
                <w:sz w:val="24"/>
                <w:szCs w:val="24"/>
                <w:lang w:eastAsia="en-IN"/>
              </w:rPr>
              <w:t>Year of Implementation</w:t>
            </w:r>
          </w:p>
        </w:tc>
        <w:tc>
          <w:tcPr>
            <w:tcW w:w="4508" w:type="dxa"/>
            <w:vAlign w:val="center"/>
          </w:tcPr>
          <w:p w14:paraId="2E1791AB" w14:textId="77777777" w:rsidR="00CF1AE2" w:rsidRPr="001D46B5" w:rsidRDefault="00CF1AE2" w:rsidP="00CF1AE2">
            <w:pPr>
              <w:rPr>
                <w:rFonts w:ascii="Times New Roman" w:eastAsia="Times New Roman" w:hAnsi="Times New Roman" w:cs="Times New Roman"/>
                <w:sz w:val="24"/>
                <w:szCs w:val="24"/>
                <w:lang w:eastAsia="en-IN"/>
              </w:rPr>
            </w:pPr>
            <w:r w:rsidRPr="001D46B5">
              <w:rPr>
                <w:rFonts w:ascii="Times New Roman" w:eastAsia="Times New Roman" w:hAnsi="Times New Roman" w:cs="Times New Roman"/>
                <w:sz w:val="24"/>
                <w:szCs w:val="24"/>
                <w:lang w:eastAsia="en-IN"/>
              </w:rPr>
              <w:t>2015</w:t>
            </w:r>
          </w:p>
        </w:tc>
      </w:tr>
      <w:tr w:rsidR="00CF1AE2" w14:paraId="79827288" w14:textId="77777777" w:rsidTr="00CF4308">
        <w:tc>
          <w:tcPr>
            <w:tcW w:w="4508" w:type="dxa"/>
            <w:vAlign w:val="center"/>
          </w:tcPr>
          <w:p w14:paraId="73E8FA73" w14:textId="77777777" w:rsidR="00CF1AE2" w:rsidRPr="001D46B5" w:rsidRDefault="00CF1AE2" w:rsidP="00CF1AE2">
            <w:pPr>
              <w:rPr>
                <w:rFonts w:ascii="Times New Roman" w:eastAsia="Times New Roman" w:hAnsi="Times New Roman" w:cs="Times New Roman"/>
                <w:sz w:val="24"/>
                <w:szCs w:val="24"/>
                <w:lang w:eastAsia="en-IN"/>
              </w:rPr>
            </w:pPr>
            <w:r w:rsidRPr="001D46B5">
              <w:rPr>
                <w:rFonts w:ascii="Times New Roman" w:eastAsia="Times New Roman" w:hAnsi="Times New Roman" w:cs="Times New Roman"/>
                <w:sz w:val="24"/>
                <w:szCs w:val="24"/>
                <w:lang w:eastAsia="en-IN"/>
              </w:rPr>
              <w:t>Number of Banks Affected</w:t>
            </w:r>
          </w:p>
        </w:tc>
        <w:tc>
          <w:tcPr>
            <w:tcW w:w="4508" w:type="dxa"/>
            <w:vAlign w:val="center"/>
          </w:tcPr>
          <w:p w14:paraId="4BDD07D6" w14:textId="77777777" w:rsidR="00CF1AE2" w:rsidRPr="001D46B5" w:rsidRDefault="00CF1AE2" w:rsidP="00CF1AE2">
            <w:pPr>
              <w:rPr>
                <w:rFonts w:ascii="Times New Roman" w:eastAsia="Times New Roman" w:hAnsi="Times New Roman" w:cs="Times New Roman"/>
                <w:sz w:val="24"/>
                <w:szCs w:val="24"/>
                <w:lang w:eastAsia="en-IN"/>
              </w:rPr>
            </w:pPr>
            <w:r w:rsidRPr="001D46B5">
              <w:rPr>
                <w:rFonts w:ascii="Times New Roman" w:eastAsia="Times New Roman" w:hAnsi="Times New Roman" w:cs="Times New Roman"/>
                <w:sz w:val="24"/>
                <w:szCs w:val="24"/>
                <w:lang w:eastAsia="en-IN"/>
              </w:rPr>
              <w:t>4,500 (approximate)</w:t>
            </w:r>
          </w:p>
        </w:tc>
      </w:tr>
      <w:tr w:rsidR="00CF1AE2" w14:paraId="29140990" w14:textId="77777777" w:rsidTr="00CF4308">
        <w:tc>
          <w:tcPr>
            <w:tcW w:w="4508" w:type="dxa"/>
            <w:vAlign w:val="center"/>
          </w:tcPr>
          <w:p w14:paraId="1C70CAC9" w14:textId="77777777" w:rsidR="00CF1AE2" w:rsidRPr="001D46B5" w:rsidRDefault="00CF1AE2" w:rsidP="00CF1AE2">
            <w:pPr>
              <w:rPr>
                <w:rFonts w:ascii="Times New Roman" w:eastAsia="Times New Roman" w:hAnsi="Times New Roman" w:cs="Times New Roman"/>
                <w:sz w:val="24"/>
                <w:szCs w:val="24"/>
                <w:lang w:eastAsia="en-IN"/>
              </w:rPr>
            </w:pPr>
            <w:r w:rsidRPr="001D46B5">
              <w:rPr>
                <w:rFonts w:ascii="Times New Roman" w:eastAsia="Times New Roman" w:hAnsi="Times New Roman" w:cs="Times New Roman"/>
                <w:sz w:val="24"/>
                <w:szCs w:val="24"/>
                <w:lang w:eastAsia="en-IN"/>
              </w:rPr>
              <w:t>Percentage Reduction in Proprietary Trading Revenue (Est.)</w:t>
            </w:r>
          </w:p>
        </w:tc>
        <w:tc>
          <w:tcPr>
            <w:tcW w:w="4508" w:type="dxa"/>
            <w:vAlign w:val="center"/>
          </w:tcPr>
          <w:p w14:paraId="2E2052C5" w14:textId="77777777" w:rsidR="00CF1AE2" w:rsidRPr="001D46B5" w:rsidRDefault="00CF1AE2" w:rsidP="00CF1AE2">
            <w:pPr>
              <w:rPr>
                <w:rFonts w:ascii="Times New Roman" w:eastAsia="Times New Roman" w:hAnsi="Times New Roman" w:cs="Times New Roman"/>
                <w:sz w:val="24"/>
                <w:szCs w:val="24"/>
                <w:lang w:eastAsia="en-IN"/>
              </w:rPr>
            </w:pPr>
            <w:r w:rsidRPr="001D46B5">
              <w:rPr>
                <w:rFonts w:ascii="Times New Roman" w:eastAsia="Times New Roman" w:hAnsi="Times New Roman" w:cs="Times New Roman"/>
                <w:sz w:val="24"/>
                <w:szCs w:val="24"/>
                <w:lang w:eastAsia="en-IN"/>
              </w:rPr>
              <w:t>15%</w:t>
            </w:r>
          </w:p>
        </w:tc>
      </w:tr>
      <w:tr w:rsidR="00CF1AE2" w14:paraId="6AF22474" w14:textId="77777777" w:rsidTr="00CF4308">
        <w:tc>
          <w:tcPr>
            <w:tcW w:w="4508" w:type="dxa"/>
            <w:vAlign w:val="center"/>
          </w:tcPr>
          <w:p w14:paraId="00BFA36C" w14:textId="77777777" w:rsidR="00CF1AE2" w:rsidRPr="001D46B5" w:rsidRDefault="00CF1AE2" w:rsidP="00CF1AE2">
            <w:pPr>
              <w:rPr>
                <w:rFonts w:ascii="Times New Roman" w:eastAsia="Times New Roman" w:hAnsi="Times New Roman" w:cs="Times New Roman"/>
                <w:sz w:val="24"/>
                <w:szCs w:val="24"/>
                <w:lang w:eastAsia="en-IN"/>
              </w:rPr>
            </w:pPr>
            <w:r w:rsidRPr="001D46B5">
              <w:rPr>
                <w:rFonts w:ascii="Times New Roman" w:eastAsia="Times New Roman" w:hAnsi="Times New Roman" w:cs="Times New Roman"/>
                <w:sz w:val="24"/>
                <w:szCs w:val="24"/>
                <w:lang w:eastAsia="en-IN"/>
              </w:rPr>
              <w:t>Compliance Costs for Large Banks (Annually)</w:t>
            </w:r>
          </w:p>
        </w:tc>
        <w:tc>
          <w:tcPr>
            <w:tcW w:w="4508" w:type="dxa"/>
            <w:vAlign w:val="center"/>
          </w:tcPr>
          <w:p w14:paraId="52ED0BFF" w14:textId="77777777" w:rsidR="00CF1AE2" w:rsidRPr="001D46B5" w:rsidRDefault="00CF1AE2" w:rsidP="00CF1AE2">
            <w:pPr>
              <w:rPr>
                <w:rFonts w:ascii="Times New Roman" w:eastAsia="Times New Roman" w:hAnsi="Times New Roman" w:cs="Times New Roman"/>
                <w:sz w:val="24"/>
                <w:szCs w:val="24"/>
                <w:lang w:eastAsia="en-IN"/>
              </w:rPr>
            </w:pPr>
            <w:r w:rsidRPr="001D46B5">
              <w:rPr>
                <w:rFonts w:ascii="Times New Roman" w:eastAsia="Times New Roman" w:hAnsi="Times New Roman" w:cs="Times New Roman"/>
                <w:sz w:val="24"/>
                <w:szCs w:val="24"/>
                <w:lang w:eastAsia="en-IN"/>
              </w:rPr>
              <w:t>$1-2 billion</w:t>
            </w:r>
          </w:p>
        </w:tc>
      </w:tr>
      <w:tr w:rsidR="00CF1AE2" w14:paraId="061CBAE7" w14:textId="77777777" w:rsidTr="00CF4308">
        <w:tc>
          <w:tcPr>
            <w:tcW w:w="4508" w:type="dxa"/>
            <w:vAlign w:val="center"/>
          </w:tcPr>
          <w:p w14:paraId="666D743E" w14:textId="77777777" w:rsidR="00CF1AE2" w:rsidRPr="001D46B5" w:rsidRDefault="00CF1AE2" w:rsidP="00CF1AE2">
            <w:pPr>
              <w:rPr>
                <w:rFonts w:ascii="Times New Roman" w:eastAsia="Times New Roman" w:hAnsi="Times New Roman" w:cs="Times New Roman"/>
                <w:sz w:val="24"/>
                <w:szCs w:val="24"/>
                <w:lang w:eastAsia="en-IN"/>
              </w:rPr>
            </w:pPr>
            <w:r w:rsidRPr="001D46B5">
              <w:rPr>
                <w:rFonts w:ascii="Times New Roman" w:eastAsia="Times New Roman" w:hAnsi="Times New Roman" w:cs="Times New Roman"/>
                <w:sz w:val="24"/>
                <w:szCs w:val="24"/>
                <w:lang w:eastAsia="en-IN"/>
              </w:rPr>
              <w:t>Number of Metrics Required to be Reported</w:t>
            </w:r>
          </w:p>
        </w:tc>
        <w:tc>
          <w:tcPr>
            <w:tcW w:w="4508" w:type="dxa"/>
            <w:vAlign w:val="center"/>
          </w:tcPr>
          <w:p w14:paraId="10116357" w14:textId="77777777" w:rsidR="00CF1AE2" w:rsidRPr="001D46B5" w:rsidRDefault="00CF1AE2" w:rsidP="00CF1AE2">
            <w:pPr>
              <w:rPr>
                <w:rFonts w:ascii="Times New Roman" w:eastAsia="Times New Roman" w:hAnsi="Times New Roman" w:cs="Times New Roman"/>
                <w:sz w:val="24"/>
                <w:szCs w:val="24"/>
                <w:lang w:eastAsia="en-IN"/>
              </w:rPr>
            </w:pPr>
            <w:r w:rsidRPr="001D46B5">
              <w:rPr>
                <w:rFonts w:ascii="Times New Roman" w:eastAsia="Times New Roman" w:hAnsi="Times New Roman" w:cs="Times New Roman"/>
                <w:sz w:val="24"/>
                <w:szCs w:val="24"/>
                <w:lang w:eastAsia="en-IN"/>
              </w:rPr>
              <w:t>17</w:t>
            </w:r>
          </w:p>
        </w:tc>
      </w:tr>
      <w:tr w:rsidR="00CF1AE2" w14:paraId="76DCAA76" w14:textId="77777777" w:rsidTr="00CF4308">
        <w:tc>
          <w:tcPr>
            <w:tcW w:w="4508" w:type="dxa"/>
            <w:vAlign w:val="center"/>
          </w:tcPr>
          <w:p w14:paraId="173AEF89" w14:textId="77777777" w:rsidR="00CF1AE2" w:rsidRPr="001D46B5" w:rsidRDefault="00CF1AE2" w:rsidP="00CF1AE2">
            <w:pPr>
              <w:rPr>
                <w:rFonts w:ascii="Times New Roman" w:eastAsia="Times New Roman" w:hAnsi="Times New Roman" w:cs="Times New Roman"/>
                <w:sz w:val="24"/>
                <w:szCs w:val="24"/>
                <w:lang w:eastAsia="en-IN"/>
              </w:rPr>
            </w:pPr>
            <w:r w:rsidRPr="001D46B5">
              <w:rPr>
                <w:rFonts w:ascii="Times New Roman" w:eastAsia="Times New Roman" w:hAnsi="Times New Roman" w:cs="Times New Roman"/>
                <w:sz w:val="24"/>
                <w:szCs w:val="24"/>
                <w:lang w:eastAsia="en-IN"/>
              </w:rPr>
              <w:t>Maximum Ownership Stake in Hedge Funds</w:t>
            </w:r>
          </w:p>
        </w:tc>
        <w:tc>
          <w:tcPr>
            <w:tcW w:w="4508" w:type="dxa"/>
            <w:vAlign w:val="center"/>
          </w:tcPr>
          <w:p w14:paraId="4B041669" w14:textId="77777777" w:rsidR="00CF1AE2" w:rsidRPr="001D46B5" w:rsidRDefault="00CF1AE2" w:rsidP="00CF1AE2">
            <w:pPr>
              <w:rPr>
                <w:rFonts w:ascii="Times New Roman" w:eastAsia="Times New Roman" w:hAnsi="Times New Roman" w:cs="Times New Roman"/>
                <w:sz w:val="24"/>
                <w:szCs w:val="24"/>
                <w:lang w:eastAsia="en-IN"/>
              </w:rPr>
            </w:pPr>
            <w:r w:rsidRPr="001D46B5">
              <w:rPr>
                <w:rFonts w:ascii="Times New Roman" w:eastAsia="Times New Roman" w:hAnsi="Times New Roman" w:cs="Times New Roman"/>
                <w:sz w:val="24"/>
                <w:szCs w:val="24"/>
                <w:lang w:eastAsia="en-IN"/>
              </w:rPr>
              <w:t>3% of Tier 1 Capital</w:t>
            </w:r>
          </w:p>
        </w:tc>
      </w:tr>
    </w:tbl>
    <w:p w14:paraId="521B2BDB" w14:textId="77777777" w:rsidR="00E12B11" w:rsidRDefault="00E12B11" w:rsidP="001D46B5">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p>
    <w:p w14:paraId="5CFDDEAA" w14:textId="77777777" w:rsidR="00E12B11" w:rsidRDefault="00E12B11" w:rsidP="001D46B5">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p>
    <w:p w14:paraId="5E8546EC" w14:textId="77777777" w:rsidR="00E12B11" w:rsidRDefault="00E12B11" w:rsidP="001D46B5">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p>
    <w:p w14:paraId="287CB9EA" w14:textId="529FFBA2" w:rsidR="001D46B5" w:rsidRDefault="001D46B5" w:rsidP="001D46B5">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1D46B5">
        <w:rPr>
          <w:rFonts w:ascii="Times New Roman" w:eastAsia="Times New Roman" w:hAnsi="Times New Roman" w:cs="Times New Roman"/>
          <w:b/>
          <w:bCs/>
          <w:sz w:val="24"/>
          <w:szCs w:val="24"/>
          <w:lang w:eastAsia="en-IN"/>
        </w:rPr>
        <w:t xml:space="preserve"> Year of Implementation and </w:t>
      </w:r>
      <w:r w:rsidR="00E12B11">
        <w:rPr>
          <w:rFonts w:ascii="Times New Roman" w:eastAsia="Times New Roman" w:hAnsi="Times New Roman" w:cs="Times New Roman"/>
          <w:b/>
          <w:bCs/>
          <w:sz w:val="24"/>
          <w:szCs w:val="24"/>
          <w:lang w:eastAsia="en-IN"/>
        </w:rPr>
        <w:t>c</w:t>
      </w:r>
      <w:r w:rsidRPr="001D46B5">
        <w:rPr>
          <w:rFonts w:ascii="Times New Roman" w:eastAsia="Times New Roman" w:hAnsi="Times New Roman" w:cs="Times New Roman"/>
          <w:b/>
          <w:bCs/>
          <w:sz w:val="24"/>
          <w:szCs w:val="24"/>
          <w:lang w:eastAsia="en-IN"/>
        </w:rPr>
        <w:t>ompliance Milestones</w:t>
      </w:r>
    </w:p>
    <w:tbl>
      <w:tblPr>
        <w:tblStyle w:val="TableGrid"/>
        <w:tblW w:w="0" w:type="auto"/>
        <w:tblLook w:val="04A0" w:firstRow="1" w:lastRow="0" w:firstColumn="1" w:lastColumn="0" w:noHBand="0" w:noVBand="1"/>
      </w:tblPr>
      <w:tblGrid>
        <w:gridCol w:w="4508"/>
        <w:gridCol w:w="4508"/>
      </w:tblGrid>
      <w:tr w:rsidR="00CF1AE2" w14:paraId="0CDE3FD3" w14:textId="77777777" w:rsidTr="002011EC">
        <w:tc>
          <w:tcPr>
            <w:tcW w:w="4508" w:type="dxa"/>
          </w:tcPr>
          <w:p w14:paraId="53F50DA3" w14:textId="77777777" w:rsidR="00CF1AE2" w:rsidRDefault="00CF1AE2" w:rsidP="00CF1AE2">
            <w:pPr>
              <w:spacing w:before="100" w:beforeAutospacing="1" w:after="100" w:afterAutospacing="1"/>
              <w:jc w:val="center"/>
              <w:outlineLvl w:val="3"/>
              <w:rPr>
                <w:rFonts w:ascii="Times New Roman" w:eastAsia="Times New Roman" w:hAnsi="Times New Roman" w:cs="Times New Roman"/>
                <w:b/>
                <w:bCs/>
                <w:sz w:val="24"/>
                <w:szCs w:val="24"/>
                <w:lang w:eastAsia="en-IN"/>
              </w:rPr>
            </w:pPr>
            <w:r w:rsidRPr="001D46B5">
              <w:rPr>
                <w:rFonts w:ascii="Times New Roman" w:eastAsia="Times New Roman" w:hAnsi="Times New Roman" w:cs="Times New Roman"/>
                <w:b/>
                <w:bCs/>
                <w:sz w:val="24"/>
                <w:szCs w:val="24"/>
                <w:lang w:eastAsia="en-IN"/>
              </w:rPr>
              <w:lastRenderedPageBreak/>
              <w:t>Milestone</w:t>
            </w:r>
          </w:p>
        </w:tc>
        <w:tc>
          <w:tcPr>
            <w:tcW w:w="4508" w:type="dxa"/>
            <w:vAlign w:val="center"/>
          </w:tcPr>
          <w:p w14:paraId="7B1918ED" w14:textId="77777777" w:rsidR="00CF1AE2" w:rsidRPr="001D46B5" w:rsidRDefault="00CF1AE2" w:rsidP="00CF1AE2">
            <w:pPr>
              <w:jc w:val="center"/>
              <w:rPr>
                <w:rFonts w:ascii="Times New Roman" w:eastAsia="Times New Roman" w:hAnsi="Times New Roman" w:cs="Times New Roman"/>
                <w:b/>
                <w:bCs/>
                <w:sz w:val="24"/>
                <w:szCs w:val="24"/>
                <w:lang w:eastAsia="en-IN"/>
              </w:rPr>
            </w:pPr>
            <w:r w:rsidRPr="001D46B5">
              <w:rPr>
                <w:rFonts w:ascii="Times New Roman" w:eastAsia="Times New Roman" w:hAnsi="Times New Roman" w:cs="Times New Roman"/>
                <w:b/>
                <w:bCs/>
                <w:sz w:val="24"/>
                <w:szCs w:val="24"/>
                <w:lang w:eastAsia="en-IN"/>
              </w:rPr>
              <w:t>Year</w:t>
            </w:r>
          </w:p>
        </w:tc>
      </w:tr>
      <w:tr w:rsidR="00CF1AE2" w14:paraId="7CA71E69" w14:textId="77777777" w:rsidTr="001447F4">
        <w:tc>
          <w:tcPr>
            <w:tcW w:w="4508" w:type="dxa"/>
            <w:vAlign w:val="center"/>
          </w:tcPr>
          <w:p w14:paraId="454341B7" w14:textId="77777777" w:rsidR="00CF1AE2" w:rsidRPr="001D46B5" w:rsidRDefault="00CF1AE2" w:rsidP="00CF1AE2">
            <w:pPr>
              <w:rPr>
                <w:rFonts w:ascii="Times New Roman" w:eastAsia="Times New Roman" w:hAnsi="Times New Roman" w:cs="Times New Roman"/>
                <w:sz w:val="24"/>
                <w:szCs w:val="24"/>
                <w:lang w:eastAsia="en-IN"/>
              </w:rPr>
            </w:pPr>
            <w:r w:rsidRPr="001D46B5">
              <w:rPr>
                <w:rFonts w:ascii="Times New Roman" w:eastAsia="Times New Roman" w:hAnsi="Times New Roman" w:cs="Times New Roman"/>
                <w:sz w:val="24"/>
                <w:szCs w:val="24"/>
                <w:lang w:eastAsia="en-IN"/>
              </w:rPr>
              <w:t>Dodd-Frank Act Passed</w:t>
            </w:r>
          </w:p>
        </w:tc>
        <w:tc>
          <w:tcPr>
            <w:tcW w:w="4508" w:type="dxa"/>
            <w:vAlign w:val="center"/>
          </w:tcPr>
          <w:p w14:paraId="403CEEEF" w14:textId="77777777" w:rsidR="00CF1AE2" w:rsidRPr="001D46B5" w:rsidRDefault="00CF1AE2" w:rsidP="00CF1AE2">
            <w:pPr>
              <w:rPr>
                <w:rFonts w:ascii="Times New Roman" w:eastAsia="Times New Roman" w:hAnsi="Times New Roman" w:cs="Times New Roman"/>
                <w:sz w:val="24"/>
                <w:szCs w:val="24"/>
                <w:lang w:eastAsia="en-IN"/>
              </w:rPr>
            </w:pPr>
            <w:r w:rsidRPr="001D46B5">
              <w:rPr>
                <w:rFonts w:ascii="Times New Roman" w:eastAsia="Times New Roman" w:hAnsi="Times New Roman" w:cs="Times New Roman"/>
                <w:sz w:val="24"/>
                <w:szCs w:val="24"/>
                <w:lang w:eastAsia="en-IN"/>
              </w:rPr>
              <w:t>2010</w:t>
            </w:r>
          </w:p>
        </w:tc>
      </w:tr>
      <w:tr w:rsidR="00CF1AE2" w14:paraId="582248D6" w14:textId="77777777" w:rsidTr="001447F4">
        <w:tc>
          <w:tcPr>
            <w:tcW w:w="4508" w:type="dxa"/>
            <w:vAlign w:val="center"/>
          </w:tcPr>
          <w:p w14:paraId="3246AF50" w14:textId="77777777" w:rsidR="00CF1AE2" w:rsidRPr="001D46B5" w:rsidRDefault="00CF1AE2" w:rsidP="00CF1AE2">
            <w:pPr>
              <w:rPr>
                <w:rFonts w:ascii="Times New Roman" w:eastAsia="Times New Roman" w:hAnsi="Times New Roman" w:cs="Times New Roman"/>
                <w:sz w:val="24"/>
                <w:szCs w:val="24"/>
                <w:lang w:eastAsia="en-IN"/>
              </w:rPr>
            </w:pPr>
            <w:r w:rsidRPr="001D46B5">
              <w:rPr>
                <w:rFonts w:ascii="Times New Roman" w:eastAsia="Times New Roman" w:hAnsi="Times New Roman" w:cs="Times New Roman"/>
                <w:sz w:val="24"/>
                <w:szCs w:val="24"/>
                <w:lang w:eastAsia="en-IN"/>
              </w:rPr>
              <w:t>Volcker Rule Finalized</w:t>
            </w:r>
          </w:p>
        </w:tc>
        <w:tc>
          <w:tcPr>
            <w:tcW w:w="4508" w:type="dxa"/>
            <w:vAlign w:val="center"/>
          </w:tcPr>
          <w:p w14:paraId="5CC04BA1" w14:textId="77777777" w:rsidR="00CF1AE2" w:rsidRPr="001D46B5" w:rsidRDefault="00CF1AE2" w:rsidP="00CF1AE2">
            <w:pPr>
              <w:rPr>
                <w:rFonts w:ascii="Times New Roman" w:eastAsia="Times New Roman" w:hAnsi="Times New Roman" w:cs="Times New Roman"/>
                <w:sz w:val="24"/>
                <w:szCs w:val="24"/>
                <w:lang w:eastAsia="en-IN"/>
              </w:rPr>
            </w:pPr>
            <w:r w:rsidRPr="001D46B5">
              <w:rPr>
                <w:rFonts w:ascii="Times New Roman" w:eastAsia="Times New Roman" w:hAnsi="Times New Roman" w:cs="Times New Roman"/>
                <w:sz w:val="24"/>
                <w:szCs w:val="24"/>
                <w:lang w:eastAsia="en-IN"/>
              </w:rPr>
              <w:t>2013</w:t>
            </w:r>
          </w:p>
        </w:tc>
      </w:tr>
      <w:tr w:rsidR="00CF1AE2" w14:paraId="2692D437" w14:textId="77777777" w:rsidTr="001447F4">
        <w:tc>
          <w:tcPr>
            <w:tcW w:w="4508" w:type="dxa"/>
            <w:vAlign w:val="center"/>
          </w:tcPr>
          <w:p w14:paraId="3651226B" w14:textId="77777777" w:rsidR="00CF1AE2" w:rsidRPr="001D46B5" w:rsidRDefault="00CF1AE2" w:rsidP="00CF1AE2">
            <w:pPr>
              <w:rPr>
                <w:rFonts w:ascii="Times New Roman" w:eastAsia="Times New Roman" w:hAnsi="Times New Roman" w:cs="Times New Roman"/>
                <w:sz w:val="24"/>
                <w:szCs w:val="24"/>
                <w:lang w:eastAsia="en-IN"/>
              </w:rPr>
            </w:pPr>
            <w:r w:rsidRPr="001D46B5">
              <w:rPr>
                <w:rFonts w:ascii="Times New Roman" w:eastAsia="Times New Roman" w:hAnsi="Times New Roman" w:cs="Times New Roman"/>
                <w:sz w:val="24"/>
                <w:szCs w:val="24"/>
                <w:lang w:eastAsia="en-IN"/>
              </w:rPr>
              <w:t>Initial Compliance Date</w:t>
            </w:r>
          </w:p>
        </w:tc>
        <w:tc>
          <w:tcPr>
            <w:tcW w:w="4508" w:type="dxa"/>
            <w:vAlign w:val="center"/>
          </w:tcPr>
          <w:p w14:paraId="61A23331" w14:textId="77777777" w:rsidR="00CF1AE2" w:rsidRPr="001D46B5" w:rsidRDefault="00CF1AE2" w:rsidP="00CF1AE2">
            <w:pPr>
              <w:rPr>
                <w:rFonts w:ascii="Times New Roman" w:eastAsia="Times New Roman" w:hAnsi="Times New Roman" w:cs="Times New Roman"/>
                <w:sz w:val="24"/>
                <w:szCs w:val="24"/>
                <w:lang w:eastAsia="en-IN"/>
              </w:rPr>
            </w:pPr>
            <w:r w:rsidRPr="001D46B5">
              <w:rPr>
                <w:rFonts w:ascii="Times New Roman" w:eastAsia="Times New Roman" w:hAnsi="Times New Roman" w:cs="Times New Roman"/>
                <w:sz w:val="24"/>
                <w:szCs w:val="24"/>
                <w:lang w:eastAsia="en-IN"/>
              </w:rPr>
              <w:t>2015</w:t>
            </w:r>
          </w:p>
        </w:tc>
      </w:tr>
      <w:tr w:rsidR="00CF1AE2" w14:paraId="542A416C" w14:textId="77777777" w:rsidTr="001447F4">
        <w:tc>
          <w:tcPr>
            <w:tcW w:w="4508" w:type="dxa"/>
            <w:vAlign w:val="center"/>
          </w:tcPr>
          <w:p w14:paraId="69E40DA8" w14:textId="77777777" w:rsidR="00CF1AE2" w:rsidRPr="001D46B5" w:rsidRDefault="00CF1AE2" w:rsidP="00CF1AE2">
            <w:pPr>
              <w:rPr>
                <w:rFonts w:ascii="Times New Roman" w:eastAsia="Times New Roman" w:hAnsi="Times New Roman" w:cs="Times New Roman"/>
                <w:sz w:val="24"/>
                <w:szCs w:val="24"/>
                <w:lang w:eastAsia="en-IN"/>
              </w:rPr>
            </w:pPr>
            <w:r w:rsidRPr="001D46B5">
              <w:rPr>
                <w:rFonts w:ascii="Times New Roman" w:eastAsia="Times New Roman" w:hAnsi="Times New Roman" w:cs="Times New Roman"/>
                <w:sz w:val="24"/>
                <w:szCs w:val="24"/>
                <w:lang w:eastAsia="en-IN"/>
              </w:rPr>
              <w:t>Full Compliance Required</w:t>
            </w:r>
          </w:p>
        </w:tc>
        <w:tc>
          <w:tcPr>
            <w:tcW w:w="4508" w:type="dxa"/>
            <w:vAlign w:val="center"/>
          </w:tcPr>
          <w:p w14:paraId="6CECD167" w14:textId="77777777" w:rsidR="00CF1AE2" w:rsidRPr="001D46B5" w:rsidRDefault="00CF1AE2" w:rsidP="00CF1AE2">
            <w:pPr>
              <w:rPr>
                <w:rFonts w:ascii="Times New Roman" w:eastAsia="Times New Roman" w:hAnsi="Times New Roman" w:cs="Times New Roman"/>
                <w:sz w:val="24"/>
                <w:szCs w:val="24"/>
                <w:lang w:eastAsia="en-IN"/>
              </w:rPr>
            </w:pPr>
            <w:r w:rsidRPr="001D46B5">
              <w:rPr>
                <w:rFonts w:ascii="Times New Roman" w:eastAsia="Times New Roman" w:hAnsi="Times New Roman" w:cs="Times New Roman"/>
                <w:sz w:val="24"/>
                <w:szCs w:val="24"/>
                <w:lang w:eastAsia="en-IN"/>
              </w:rPr>
              <w:t>2017</w:t>
            </w:r>
          </w:p>
        </w:tc>
      </w:tr>
    </w:tbl>
    <w:p w14:paraId="741CA060" w14:textId="045D241E" w:rsidR="001D46B5" w:rsidRDefault="001D46B5" w:rsidP="001D46B5">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1D46B5">
        <w:rPr>
          <w:rFonts w:ascii="Times New Roman" w:eastAsia="Times New Roman" w:hAnsi="Times New Roman" w:cs="Times New Roman"/>
          <w:b/>
          <w:bCs/>
          <w:sz w:val="24"/>
          <w:szCs w:val="24"/>
          <w:lang w:eastAsia="en-IN"/>
        </w:rPr>
        <w:t xml:space="preserve"> Banks Affected by Volcker Rule</w:t>
      </w:r>
    </w:p>
    <w:tbl>
      <w:tblPr>
        <w:tblStyle w:val="TableGrid"/>
        <w:tblW w:w="0" w:type="auto"/>
        <w:tblLook w:val="04A0" w:firstRow="1" w:lastRow="0" w:firstColumn="1" w:lastColumn="0" w:noHBand="0" w:noVBand="1"/>
      </w:tblPr>
      <w:tblGrid>
        <w:gridCol w:w="4508"/>
        <w:gridCol w:w="4508"/>
      </w:tblGrid>
      <w:tr w:rsidR="0061269D" w14:paraId="4782424D" w14:textId="77777777" w:rsidTr="009561FD">
        <w:tc>
          <w:tcPr>
            <w:tcW w:w="4508" w:type="dxa"/>
          </w:tcPr>
          <w:p w14:paraId="09418268" w14:textId="77777777" w:rsidR="0061269D" w:rsidRDefault="0061269D" w:rsidP="0061269D">
            <w:pPr>
              <w:spacing w:before="100" w:beforeAutospacing="1" w:after="100" w:afterAutospacing="1"/>
              <w:outlineLvl w:val="3"/>
              <w:rPr>
                <w:rFonts w:ascii="Times New Roman" w:eastAsia="Times New Roman" w:hAnsi="Times New Roman" w:cs="Times New Roman"/>
                <w:b/>
                <w:bCs/>
                <w:sz w:val="24"/>
                <w:szCs w:val="24"/>
                <w:lang w:eastAsia="en-IN"/>
              </w:rPr>
            </w:pPr>
            <w:r w:rsidRPr="001D46B5">
              <w:rPr>
                <w:rFonts w:ascii="Times New Roman" w:eastAsia="Times New Roman" w:hAnsi="Times New Roman" w:cs="Times New Roman"/>
                <w:b/>
                <w:bCs/>
                <w:sz w:val="24"/>
                <w:szCs w:val="24"/>
                <w:lang w:eastAsia="en-IN"/>
              </w:rPr>
              <w:t>Category</w:t>
            </w:r>
          </w:p>
        </w:tc>
        <w:tc>
          <w:tcPr>
            <w:tcW w:w="4508" w:type="dxa"/>
            <w:vAlign w:val="center"/>
          </w:tcPr>
          <w:p w14:paraId="31348941" w14:textId="77777777" w:rsidR="0061269D" w:rsidRPr="001D46B5" w:rsidRDefault="0061269D" w:rsidP="0061269D">
            <w:pPr>
              <w:jc w:val="center"/>
              <w:rPr>
                <w:rFonts w:ascii="Times New Roman" w:eastAsia="Times New Roman" w:hAnsi="Times New Roman" w:cs="Times New Roman"/>
                <w:b/>
                <w:bCs/>
                <w:sz w:val="24"/>
                <w:szCs w:val="24"/>
                <w:lang w:eastAsia="en-IN"/>
              </w:rPr>
            </w:pPr>
            <w:r w:rsidRPr="001D46B5">
              <w:rPr>
                <w:rFonts w:ascii="Times New Roman" w:eastAsia="Times New Roman" w:hAnsi="Times New Roman" w:cs="Times New Roman"/>
                <w:b/>
                <w:bCs/>
                <w:sz w:val="24"/>
                <w:szCs w:val="24"/>
                <w:lang w:eastAsia="en-IN"/>
              </w:rPr>
              <w:t>Number of Banks</w:t>
            </w:r>
          </w:p>
        </w:tc>
      </w:tr>
      <w:tr w:rsidR="0061269D" w14:paraId="3886531A" w14:textId="77777777" w:rsidTr="00B73AB9">
        <w:tc>
          <w:tcPr>
            <w:tcW w:w="4508" w:type="dxa"/>
            <w:vAlign w:val="center"/>
          </w:tcPr>
          <w:p w14:paraId="6B366CF2" w14:textId="77777777" w:rsidR="0061269D" w:rsidRPr="001D46B5" w:rsidRDefault="0061269D" w:rsidP="0061269D">
            <w:pPr>
              <w:rPr>
                <w:rFonts w:ascii="Times New Roman" w:eastAsia="Times New Roman" w:hAnsi="Times New Roman" w:cs="Times New Roman"/>
                <w:sz w:val="24"/>
                <w:szCs w:val="24"/>
                <w:lang w:eastAsia="en-IN"/>
              </w:rPr>
            </w:pPr>
            <w:r w:rsidRPr="001D46B5">
              <w:rPr>
                <w:rFonts w:ascii="Times New Roman" w:eastAsia="Times New Roman" w:hAnsi="Times New Roman" w:cs="Times New Roman"/>
                <w:sz w:val="24"/>
                <w:szCs w:val="24"/>
                <w:lang w:eastAsia="en-IN"/>
              </w:rPr>
              <w:t>Large Banks</w:t>
            </w:r>
          </w:p>
        </w:tc>
        <w:tc>
          <w:tcPr>
            <w:tcW w:w="4508" w:type="dxa"/>
            <w:vAlign w:val="center"/>
          </w:tcPr>
          <w:p w14:paraId="21FE6C1D" w14:textId="77777777" w:rsidR="0061269D" w:rsidRPr="001D46B5" w:rsidRDefault="0061269D" w:rsidP="0061269D">
            <w:pPr>
              <w:rPr>
                <w:rFonts w:ascii="Times New Roman" w:eastAsia="Times New Roman" w:hAnsi="Times New Roman" w:cs="Times New Roman"/>
                <w:sz w:val="24"/>
                <w:szCs w:val="24"/>
                <w:lang w:eastAsia="en-IN"/>
              </w:rPr>
            </w:pPr>
            <w:r w:rsidRPr="001D46B5">
              <w:rPr>
                <w:rFonts w:ascii="Times New Roman" w:eastAsia="Times New Roman" w:hAnsi="Times New Roman" w:cs="Times New Roman"/>
                <w:sz w:val="24"/>
                <w:szCs w:val="24"/>
                <w:lang w:eastAsia="en-IN"/>
              </w:rPr>
              <w:t>50</w:t>
            </w:r>
          </w:p>
        </w:tc>
      </w:tr>
      <w:tr w:rsidR="0061269D" w14:paraId="3FA659AB" w14:textId="77777777" w:rsidTr="00B73AB9">
        <w:tc>
          <w:tcPr>
            <w:tcW w:w="4508" w:type="dxa"/>
            <w:vAlign w:val="center"/>
          </w:tcPr>
          <w:p w14:paraId="142ED9A0" w14:textId="77777777" w:rsidR="0061269D" w:rsidRPr="001D46B5" w:rsidRDefault="0061269D" w:rsidP="0061269D">
            <w:pPr>
              <w:rPr>
                <w:rFonts w:ascii="Times New Roman" w:eastAsia="Times New Roman" w:hAnsi="Times New Roman" w:cs="Times New Roman"/>
                <w:sz w:val="24"/>
                <w:szCs w:val="24"/>
                <w:lang w:eastAsia="en-IN"/>
              </w:rPr>
            </w:pPr>
            <w:r w:rsidRPr="001D46B5">
              <w:rPr>
                <w:rFonts w:ascii="Times New Roman" w:eastAsia="Times New Roman" w:hAnsi="Times New Roman" w:cs="Times New Roman"/>
                <w:sz w:val="24"/>
                <w:szCs w:val="24"/>
                <w:lang w:eastAsia="en-IN"/>
              </w:rPr>
              <w:t>Medium-Sized Banks</w:t>
            </w:r>
          </w:p>
        </w:tc>
        <w:tc>
          <w:tcPr>
            <w:tcW w:w="4508" w:type="dxa"/>
            <w:vAlign w:val="center"/>
          </w:tcPr>
          <w:p w14:paraId="645F860C" w14:textId="77777777" w:rsidR="0061269D" w:rsidRPr="001D46B5" w:rsidRDefault="0061269D" w:rsidP="0061269D">
            <w:pPr>
              <w:rPr>
                <w:rFonts w:ascii="Times New Roman" w:eastAsia="Times New Roman" w:hAnsi="Times New Roman" w:cs="Times New Roman"/>
                <w:sz w:val="24"/>
                <w:szCs w:val="24"/>
                <w:lang w:eastAsia="en-IN"/>
              </w:rPr>
            </w:pPr>
            <w:r w:rsidRPr="001D46B5">
              <w:rPr>
                <w:rFonts w:ascii="Times New Roman" w:eastAsia="Times New Roman" w:hAnsi="Times New Roman" w:cs="Times New Roman"/>
                <w:sz w:val="24"/>
                <w:szCs w:val="24"/>
                <w:lang w:eastAsia="en-IN"/>
              </w:rPr>
              <w:t>450</w:t>
            </w:r>
          </w:p>
        </w:tc>
      </w:tr>
      <w:tr w:rsidR="0061269D" w14:paraId="4100978C" w14:textId="77777777" w:rsidTr="00B73AB9">
        <w:tc>
          <w:tcPr>
            <w:tcW w:w="4508" w:type="dxa"/>
            <w:vAlign w:val="center"/>
          </w:tcPr>
          <w:p w14:paraId="6BCAD0C2" w14:textId="77777777" w:rsidR="0061269D" w:rsidRPr="001D46B5" w:rsidRDefault="0061269D" w:rsidP="0061269D">
            <w:pPr>
              <w:rPr>
                <w:rFonts w:ascii="Times New Roman" w:eastAsia="Times New Roman" w:hAnsi="Times New Roman" w:cs="Times New Roman"/>
                <w:sz w:val="24"/>
                <w:szCs w:val="24"/>
                <w:lang w:eastAsia="en-IN"/>
              </w:rPr>
            </w:pPr>
            <w:r w:rsidRPr="001D46B5">
              <w:rPr>
                <w:rFonts w:ascii="Times New Roman" w:eastAsia="Times New Roman" w:hAnsi="Times New Roman" w:cs="Times New Roman"/>
                <w:sz w:val="24"/>
                <w:szCs w:val="24"/>
                <w:lang w:eastAsia="en-IN"/>
              </w:rPr>
              <w:t>Small Banks</w:t>
            </w:r>
          </w:p>
        </w:tc>
        <w:tc>
          <w:tcPr>
            <w:tcW w:w="4508" w:type="dxa"/>
            <w:vAlign w:val="center"/>
          </w:tcPr>
          <w:p w14:paraId="5EB781EF" w14:textId="77777777" w:rsidR="0061269D" w:rsidRPr="001D46B5" w:rsidRDefault="0061269D" w:rsidP="0061269D">
            <w:pPr>
              <w:rPr>
                <w:rFonts w:ascii="Times New Roman" w:eastAsia="Times New Roman" w:hAnsi="Times New Roman" w:cs="Times New Roman"/>
                <w:sz w:val="24"/>
                <w:szCs w:val="24"/>
                <w:lang w:eastAsia="en-IN"/>
              </w:rPr>
            </w:pPr>
            <w:r w:rsidRPr="001D46B5">
              <w:rPr>
                <w:rFonts w:ascii="Times New Roman" w:eastAsia="Times New Roman" w:hAnsi="Times New Roman" w:cs="Times New Roman"/>
                <w:sz w:val="24"/>
                <w:szCs w:val="24"/>
                <w:lang w:eastAsia="en-IN"/>
              </w:rPr>
              <w:t>4,000</w:t>
            </w:r>
          </w:p>
        </w:tc>
      </w:tr>
      <w:tr w:rsidR="0061269D" w14:paraId="097D1CE9" w14:textId="77777777" w:rsidTr="00B73AB9">
        <w:tc>
          <w:tcPr>
            <w:tcW w:w="4508" w:type="dxa"/>
            <w:vAlign w:val="center"/>
          </w:tcPr>
          <w:p w14:paraId="4EC2BB03" w14:textId="77777777" w:rsidR="0061269D" w:rsidRPr="001D46B5" w:rsidRDefault="0061269D" w:rsidP="0061269D">
            <w:pPr>
              <w:rPr>
                <w:rFonts w:ascii="Times New Roman" w:eastAsia="Times New Roman" w:hAnsi="Times New Roman" w:cs="Times New Roman"/>
                <w:sz w:val="24"/>
                <w:szCs w:val="24"/>
                <w:lang w:eastAsia="en-IN"/>
              </w:rPr>
            </w:pPr>
            <w:r w:rsidRPr="001D46B5">
              <w:rPr>
                <w:rFonts w:ascii="Times New Roman" w:eastAsia="Times New Roman" w:hAnsi="Times New Roman" w:cs="Times New Roman"/>
                <w:sz w:val="24"/>
                <w:szCs w:val="24"/>
                <w:lang w:eastAsia="en-IN"/>
              </w:rPr>
              <w:t>Total</w:t>
            </w:r>
          </w:p>
        </w:tc>
        <w:tc>
          <w:tcPr>
            <w:tcW w:w="4508" w:type="dxa"/>
            <w:vAlign w:val="center"/>
          </w:tcPr>
          <w:p w14:paraId="1F8D442C" w14:textId="77777777" w:rsidR="0061269D" w:rsidRPr="001D46B5" w:rsidRDefault="0061269D" w:rsidP="0061269D">
            <w:pPr>
              <w:rPr>
                <w:rFonts w:ascii="Times New Roman" w:eastAsia="Times New Roman" w:hAnsi="Times New Roman" w:cs="Times New Roman"/>
                <w:sz w:val="24"/>
                <w:szCs w:val="24"/>
                <w:lang w:eastAsia="en-IN"/>
              </w:rPr>
            </w:pPr>
            <w:r w:rsidRPr="001D46B5">
              <w:rPr>
                <w:rFonts w:ascii="Times New Roman" w:eastAsia="Times New Roman" w:hAnsi="Times New Roman" w:cs="Times New Roman"/>
                <w:sz w:val="24"/>
                <w:szCs w:val="24"/>
                <w:lang w:eastAsia="en-IN"/>
              </w:rPr>
              <w:t>4,500</w:t>
            </w:r>
          </w:p>
        </w:tc>
      </w:tr>
    </w:tbl>
    <w:p w14:paraId="3C9A6D51" w14:textId="66DE7C9B" w:rsidR="00B6326B" w:rsidRDefault="00B6326B" w:rsidP="001D46B5">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Pr>
          <w:noProof/>
        </w:rPr>
        <mc:AlternateContent>
          <mc:Choice Requires="cx1">
            <w:drawing>
              <wp:inline distT="0" distB="0" distL="0" distR="0" wp14:anchorId="005F3F52" wp14:editId="0C1C3C86">
                <wp:extent cx="4389120" cy="2667000"/>
                <wp:effectExtent l="0" t="0" r="11430" b="0"/>
                <wp:docPr id="1" name="Chart 1">
                  <a:extLst xmlns:a="http://schemas.openxmlformats.org/drawingml/2006/main">
                    <a:ext uri="{FF2B5EF4-FFF2-40B4-BE49-F238E27FC236}">
                      <a16:creationId xmlns:a16="http://schemas.microsoft.com/office/drawing/2014/main" id="{E2198C00-1DD9-4749-B548-AEFAA2FB6757}"/>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8"/>
                  </a:graphicData>
                </a:graphic>
              </wp:inline>
            </w:drawing>
          </mc:Choice>
          <mc:Fallback>
            <w:drawing>
              <wp:inline distT="0" distB="0" distL="0" distR="0" wp14:anchorId="005F3F52" wp14:editId="0C1C3C86">
                <wp:extent cx="4389120" cy="2667000"/>
                <wp:effectExtent l="0" t="0" r="11430" b="0"/>
                <wp:docPr id="1" name="Chart 1">
                  <a:extLst xmlns:a="http://schemas.openxmlformats.org/drawingml/2006/main">
                    <a:ext uri="{FF2B5EF4-FFF2-40B4-BE49-F238E27FC236}">
                      <a16:creationId xmlns:a16="http://schemas.microsoft.com/office/drawing/2014/main" id="{E2198C00-1DD9-4749-B548-AEFAA2FB6757}"/>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1" name="Chart 1">
                          <a:extLst>
                            <a:ext uri="{FF2B5EF4-FFF2-40B4-BE49-F238E27FC236}">
                              <a16:creationId xmlns:a16="http://schemas.microsoft.com/office/drawing/2014/main" id="{E2198C00-1DD9-4749-B548-AEFAA2FB6757}"/>
                            </a:ext>
                          </a:extLst>
                        </pic:cNvPr>
                        <pic:cNvPicPr>
                          <a:picLocks noGrp="1" noRot="1" noChangeAspect="1" noMove="1" noResize="1" noEditPoints="1" noAdjustHandles="1" noChangeArrowheads="1" noChangeShapeType="1"/>
                        </pic:cNvPicPr>
                      </pic:nvPicPr>
                      <pic:blipFill>
                        <a:blip r:embed="rId9"/>
                        <a:stretch>
                          <a:fillRect/>
                        </a:stretch>
                      </pic:blipFill>
                      <pic:spPr>
                        <a:xfrm>
                          <a:off x="0" y="0"/>
                          <a:ext cx="4389120" cy="2667000"/>
                        </a:xfrm>
                        <a:prstGeom prst="rect">
                          <a:avLst/>
                        </a:prstGeom>
                      </pic:spPr>
                    </pic:pic>
                  </a:graphicData>
                </a:graphic>
              </wp:inline>
            </w:drawing>
          </mc:Fallback>
        </mc:AlternateContent>
      </w:r>
    </w:p>
    <w:p w14:paraId="42B5CD8E" w14:textId="43B96A8A" w:rsidR="001D46B5" w:rsidRPr="001D46B5" w:rsidRDefault="001D46B5" w:rsidP="001D46B5">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1D46B5">
        <w:rPr>
          <w:rFonts w:ascii="Times New Roman" w:eastAsia="Times New Roman" w:hAnsi="Times New Roman" w:cs="Times New Roman"/>
          <w:b/>
          <w:bCs/>
          <w:sz w:val="24"/>
          <w:szCs w:val="24"/>
          <w:lang w:eastAsia="en-IN"/>
        </w:rPr>
        <w:t xml:space="preserve"> Proprietary Trading Revenue Reduction</w:t>
      </w:r>
      <w:r w:rsidR="00B6326B">
        <w:rPr>
          <w:rFonts w:ascii="Times New Roman" w:eastAsia="Times New Roman" w:hAnsi="Times New Roman" w:cs="Times New Roman"/>
          <w:b/>
          <w:bCs/>
          <w:sz w:val="24"/>
          <w:szCs w:val="24"/>
          <w:lang w:eastAsia="en-IN"/>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11"/>
      </w:tblGrid>
      <w:tr w:rsidR="00B6326B" w:rsidRPr="001D46B5" w14:paraId="384CD5FF" w14:textId="77777777" w:rsidTr="00177100">
        <w:trPr>
          <w:tblHeader/>
          <w:tblCellSpacing w:w="15" w:type="dxa"/>
        </w:trPr>
        <w:tc>
          <w:tcPr>
            <w:tcW w:w="4251" w:type="dxa"/>
            <w:vAlign w:val="center"/>
          </w:tcPr>
          <w:tbl>
            <w:tblPr>
              <w:tblStyle w:val="TableGrid"/>
              <w:tblW w:w="0" w:type="auto"/>
              <w:tblLook w:val="04A0" w:firstRow="1" w:lastRow="0" w:firstColumn="1" w:lastColumn="0" w:noHBand="0" w:noVBand="1"/>
            </w:tblPr>
            <w:tblGrid>
              <w:gridCol w:w="2061"/>
              <w:gridCol w:w="2062"/>
            </w:tblGrid>
            <w:tr w:rsidR="00B6326B" w14:paraId="52EBFFEF" w14:textId="77777777" w:rsidTr="0087179E">
              <w:tc>
                <w:tcPr>
                  <w:tcW w:w="2061" w:type="dxa"/>
                </w:tcPr>
                <w:p w14:paraId="43101F50" w14:textId="456693FC" w:rsidR="00B6326B" w:rsidRDefault="00B6326B" w:rsidP="00E12B11">
                  <w:pPr>
                    <w:jc w:val="center"/>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t>Year</w:t>
                  </w:r>
                </w:p>
              </w:tc>
              <w:tc>
                <w:tcPr>
                  <w:tcW w:w="2062" w:type="dxa"/>
                  <w:vAlign w:val="center"/>
                </w:tcPr>
                <w:p w14:paraId="5C8E1C99" w14:textId="3211E0F4" w:rsidR="00B6326B" w:rsidRDefault="00B6326B" w:rsidP="00E12B11">
                  <w:pPr>
                    <w:jc w:val="center"/>
                    <w:rPr>
                      <w:rFonts w:ascii="Times New Roman" w:eastAsia="Times New Roman" w:hAnsi="Times New Roman" w:cs="Times New Roman"/>
                      <w:b/>
                      <w:bCs/>
                      <w:sz w:val="24"/>
                      <w:szCs w:val="24"/>
                      <w:lang w:eastAsia="en-IN"/>
                    </w:rPr>
                  </w:pPr>
                  <w:r w:rsidRPr="001D46B5">
                    <w:rPr>
                      <w:rFonts w:ascii="Times New Roman" w:eastAsia="Times New Roman" w:hAnsi="Times New Roman" w:cs="Times New Roman"/>
                      <w:b/>
                      <w:bCs/>
                      <w:sz w:val="24"/>
                      <w:szCs w:val="24"/>
                      <w:lang w:eastAsia="en-IN"/>
                    </w:rPr>
                    <w:t>Proprietary Trading Revenue ($ Billion)</w:t>
                  </w:r>
                </w:p>
              </w:tc>
            </w:tr>
            <w:tr w:rsidR="00B6326B" w14:paraId="23C1AE93" w14:textId="77777777" w:rsidTr="00BE7A8C">
              <w:tc>
                <w:tcPr>
                  <w:tcW w:w="2061" w:type="dxa"/>
                  <w:vAlign w:val="center"/>
                </w:tcPr>
                <w:p w14:paraId="42C6524F" w14:textId="7EBC4E05" w:rsidR="00B6326B" w:rsidRDefault="00B6326B" w:rsidP="00E12B11">
                  <w:pPr>
                    <w:rPr>
                      <w:rFonts w:ascii="Times New Roman" w:eastAsia="Times New Roman" w:hAnsi="Times New Roman" w:cs="Times New Roman"/>
                      <w:b/>
                      <w:bCs/>
                      <w:sz w:val="24"/>
                      <w:szCs w:val="24"/>
                      <w:lang w:eastAsia="en-IN"/>
                    </w:rPr>
                  </w:pPr>
                  <w:r w:rsidRPr="001D46B5">
                    <w:rPr>
                      <w:rFonts w:ascii="Times New Roman" w:eastAsia="Times New Roman" w:hAnsi="Times New Roman" w:cs="Times New Roman"/>
                      <w:sz w:val="24"/>
                      <w:szCs w:val="24"/>
                      <w:lang w:eastAsia="en-IN"/>
                    </w:rPr>
                    <w:t>2014</w:t>
                  </w:r>
                </w:p>
              </w:tc>
              <w:tc>
                <w:tcPr>
                  <w:tcW w:w="2062" w:type="dxa"/>
                </w:tcPr>
                <w:p w14:paraId="4D507C69" w14:textId="2F9103AB" w:rsidR="00B6326B" w:rsidRDefault="00B6326B" w:rsidP="00E12B11">
                  <w:pPr>
                    <w:jc w:val="center"/>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t>20</w:t>
                  </w:r>
                </w:p>
              </w:tc>
            </w:tr>
            <w:tr w:rsidR="00B6326B" w14:paraId="4C4AE796" w14:textId="77777777" w:rsidTr="00E12B11">
              <w:tc>
                <w:tcPr>
                  <w:tcW w:w="2061" w:type="dxa"/>
                </w:tcPr>
                <w:p w14:paraId="5852FC7E" w14:textId="50DEAA84" w:rsidR="00B6326B" w:rsidRDefault="00B6326B" w:rsidP="00E12B11">
                  <w:pPr>
                    <w:jc w:val="center"/>
                    <w:rPr>
                      <w:rFonts w:ascii="Times New Roman" w:eastAsia="Times New Roman" w:hAnsi="Times New Roman" w:cs="Times New Roman"/>
                      <w:b/>
                      <w:bCs/>
                      <w:sz w:val="24"/>
                      <w:szCs w:val="24"/>
                      <w:lang w:eastAsia="en-IN"/>
                    </w:rPr>
                  </w:pPr>
                  <w:r w:rsidRPr="001D46B5">
                    <w:rPr>
                      <w:rFonts w:ascii="Times New Roman" w:eastAsia="Times New Roman" w:hAnsi="Times New Roman" w:cs="Times New Roman"/>
                      <w:sz w:val="24"/>
                      <w:szCs w:val="24"/>
                      <w:lang w:eastAsia="en-IN"/>
                    </w:rPr>
                    <w:t>2015</w:t>
                  </w:r>
                </w:p>
              </w:tc>
              <w:tc>
                <w:tcPr>
                  <w:tcW w:w="2062" w:type="dxa"/>
                </w:tcPr>
                <w:p w14:paraId="02AD455E" w14:textId="51065821" w:rsidR="00B6326B" w:rsidRDefault="00B6326B" w:rsidP="00E12B11">
                  <w:pPr>
                    <w:jc w:val="center"/>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t>17</w:t>
                  </w:r>
                </w:p>
              </w:tc>
            </w:tr>
            <w:tr w:rsidR="00B6326B" w14:paraId="3E552C2D" w14:textId="77777777" w:rsidTr="00E12B11">
              <w:tc>
                <w:tcPr>
                  <w:tcW w:w="2061" w:type="dxa"/>
                </w:tcPr>
                <w:p w14:paraId="70A3476C" w14:textId="4BAA702A" w:rsidR="00B6326B" w:rsidRDefault="00B6326B" w:rsidP="00E12B11">
                  <w:pPr>
                    <w:jc w:val="center"/>
                    <w:rPr>
                      <w:rFonts w:ascii="Times New Roman" w:eastAsia="Times New Roman" w:hAnsi="Times New Roman" w:cs="Times New Roman"/>
                      <w:b/>
                      <w:bCs/>
                      <w:sz w:val="24"/>
                      <w:szCs w:val="24"/>
                      <w:lang w:eastAsia="en-IN"/>
                    </w:rPr>
                  </w:pPr>
                  <w:r w:rsidRPr="001D46B5">
                    <w:rPr>
                      <w:rFonts w:ascii="Times New Roman" w:eastAsia="Times New Roman" w:hAnsi="Times New Roman" w:cs="Times New Roman"/>
                      <w:sz w:val="24"/>
                      <w:szCs w:val="24"/>
                      <w:lang w:eastAsia="en-IN"/>
                    </w:rPr>
                    <w:t>2016</w:t>
                  </w:r>
                </w:p>
              </w:tc>
              <w:tc>
                <w:tcPr>
                  <w:tcW w:w="2062" w:type="dxa"/>
                </w:tcPr>
                <w:p w14:paraId="42F7FA96" w14:textId="08BB7912" w:rsidR="00B6326B" w:rsidRDefault="00B6326B" w:rsidP="00E12B11">
                  <w:pPr>
                    <w:jc w:val="center"/>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t>16</w:t>
                  </w:r>
                </w:p>
              </w:tc>
            </w:tr>
            <w:tr w:rsidR="00B6326B" w14:paraId="2918D314" w14:textId="77777777" w:rsidTr="00E12B11">
              <w:tc>
                <w:tcPr>
                  <w:tcW w:w="2061" w:type="dxa"/>
                </w:tcPr>
                <w:p w14:paraId="648C9276" w14:textId="50A94EFD" w:rsidR="00B6326B" w:rsidRDefault="00B6326B" w:rsidP="00E12B11">
                  <w:pPr>
                    <w:jc w:val="center"/>
                    <w:rPr>
                      <w:rFonts w:ascii="Times New Roman" w:eastAsia="Times New Roman" w:hAnsi="Times New Roman" w:cs="Times New Roman"/>
                      <w:b/>
                      <w:bCs/>
                      <w:sz w:val="24"/>
                      <w:szCs w:val="24"/>
                      <w:lang w:eastAsia="en-IN"/>
                    </w:rPr>
                  </w:pPr>
                  <w:r w:rsidRPr="001D46B5">
                    <w:rPr>
                      <w:rFonts w:ascii="Times New Roman" w:eastAsia="Times New Roman" w:hAnsi="Times New Roman" w:cs="Times New Roman"/>
                      <w:sz w:val="24"/>
                      <w:szCs w:val="24"/>
                      <w:lang w:eastAsia="en-IN"/>
                    </w:rPr>
                    <w:t>2017</w:t>
                  </w:r>
                </w:p>
              </w:tc>
              <w:tc>
                <w:tcPr>
                  <w:tcW w:w="2062" w:type="dxa"/>
                </w:tcPr>
                <w:p w14:paraId="7FDBAA15" w14:textId="45DFDCA3" w:rsidR="00B6326B" w:rsidRDefault="00B6326B" w:rsidP="00E12B11">
                  <w:pPr>
                    <w:jc w:val="center"/>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t>15</w:t>
                  </w:r>
                </w:p>
              </w:tc>
            </w:tr>
            <w:tr w:rsidR="00B6326B" w14:paraId="7451365F" w14:textId="77777777" w:rsidTr="00E12B11">
              <w:tc>
                <w:tcPr>
                  <w:tcW w:w="2061" w:type="dxa"/>
                </w:tcPr>
                <w:p w14:paraId="38666C06" w14:textId="2AF1ACA0" w:rsidR="00B6326B" w:rsidRDefault="00B6326B" w:rsidP="00E12B11">
                  <w:pPr>
                    <w:jc w:val="center"/>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t>2018</w:t>
                  </w:r>
                </w:p>
              </w:tc>
              <w:tc>
                <w:tcPr>
                  <w:tcW w:w="2062" w:type="dxa"/>
                </w:tcPr>
                <w:p w14:paraId="4C4B0024" w14:textId="492D90E9" w:rsidR="00B6326B" w:rsidRDefault="00B6326B" w:rsidP="00E12B11">
                  <w:pPr>
                    <w:jc w:val="center"/>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t>14</w:t>
                  </w:r>
                </w:p>
              </w:tc>
            </w:tr>
            <w:tr w:rsidR="00B6326B" w14:paraId="7CA05712" w14:textId="77777777" w:rsidTr="00E12B11">
              <w:tc>
                <w:tcPr>
                  <w:tcW w:w="2061" w:type="dxa"/>
                </w:tcPr>
                <w:p w14:paraId="6A9FDDC9" w14:textId="4E0ABCEF" w:rsidR="00B6326B" w:rsidRDefault="00B6326B" w:rsidP="00E12B11">
                  <w:pPr>
                    <w:jc w:val="center"/>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t>2019</w:t>
                  </w:r>
                </w:p>
              </w:tc>
              <w:tc>
                <w:tcPr>
                  <w:tcW w:w="2062" w:type="dxa"/>
                </w:tcPr>
                <w:p w14:paraId="120C4ADA" w14:textId="18F2BE61" w:rsidR="00B6326B" w:rsidRDefault="00B6326B" w:rsidP="00E12B11">
                  <w:pPr>
                    <w:jc w:val="center"/>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t>13</w:t>
                  </w:r>
                </w:p>
              </w:tc>
            </w:tr>
          </w:tbl>
          <w:p w14:paraId="377FAE41" w14:textId="77777777" w:rsidR="00B6326B" w:rsidRPr="001D46B5" w:rsidRDefault="00B6326B" w:rsidP="001D46B5">
            <w:pPr>
              <w:spacing w:after="0" w:line="240" w:lineRule="auto"/>
              <w:jc w:val="center"/>
              <w:rPr>
                <w:rFonts w:ascii="Times New Roman" w:eastAsia="Times New Roman" w:hAnsi="Times New Roman" w:cs="Times New Roman"/>
                <w:b/>
                <w:bCs/>
                <w:sz w:val="24"/>
                <w:szCs w:val="24"/>
                <w:lang w:eastAsia="en-IN"/>
              </w:rPr>
            </w:pPr>
          </w:p>
        </w:tc>
      </w:tr>
      <w:tr w:rsidR="00B6326B" w:rsidRPr="001D46B5" w14:paraId="1F2C829E" w14:textId="77777777" w:rsidTr="00177100">
        <w:trPr>
          <w:tblHeader/>
          <w:tblCellSpacing w:w="15" w:type="dxa"/>
        </w:trPr>
        <w:tc>
          <w:tcPr>
            <w:tcW w:w="4251" w:type="dxa"/>
            <w:vAlign w:val="center"/>
          </w:tcPr>
          <w:p w14:paraId="3C4DC7CC" w14:textId="77777777" w:rsidR="00B6326B" w:rsidRDefault="00B6326B" w:rsidP="00B6326B">
            <w:pPr>
              <w:jc w:val="center"/>
            </w:pPr>
          </w:p>
          <w:p w14:paraId="263231FB" w14:textId="77777777" w:rsidR="00B6326B" w:rsidRDefault="00B6326B" w:rsidP="00B6326B">
            <w:pPr>
              <w:jc w:val="center"/>
            </w:pPr>
          </w:p>
          <w:p w14:paraId="3F78FA70" w14:textId="1131C4E8" w:rsidR="00B6326B" w:rsidRPr="00B6326B" w:rsidRDefault="00B6326B" w:rsidP="00E12B11">
            <w:pPr>
              <w:spacing w:after="0" w:line="240" w:lineRule="auto"/>
              <w:jc w:val="center"/>
              <w:rPr>
                <w:rFonts w:ascii="Times New Roman" w:eastAsia="Times New Roman" w:hAnsi="Times New Roman" w:cs="Times New Roman"/>
                <w:sz w:val="24"/>
                <w:szCs w:val="24"/>
                <w:lang w:eastAsia="en-IN"/>
              </w:rPr>
            </w:pPr>
          </w:p>
        </w:tc>
      </w:tr>
    </w:tbl>
    <w:p w14:paraId="590619F0" w14:textId="77777777" w:rsidR="00177100" w:rsidRDefault="00177100" w:rsidP="001D46B5">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Pr>
          <w:noProof/>
        </w:rPr>
        <w:lastRenderedPageBreak/>
        <w:drawing>
          <wp:inline distT="0" distB="0" distL="0" distR="0" wp14:anchorId="61EB4D0A" wp14:editId="0384D235">
            <wp:extent cx="4404360" cy="2552700"/>
            <wp:effectExtent l="0" t="0" r="15240" b="0"/>
            <wp:docPr id="2" name="Chart 2">
              <a:extLst xmlns:a="http://schemas.openxmlformats.org/drawingml/2006/main">
                <a:ext uri="{FF2B5EF4-FFF2-40B4-BE49-F238E27FC236}">
                  <a16:creationId xmlns:a16="http://schemas.microsoft.com/office/drawing/2014/main" id="{5BE33E3C-DB5D-4478-BA1C-546D53D621D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39D47E56" w14:textId="20BBA06C" w:rsidR="001D46B5" w:rsidRPr="001D46B5" w:rsidRDefault="001D46B5" w:rsidP="001D46B5">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1D46B5">
        <w:rPr>
          <w:rFonts w:ascii="Times New Roman" w:eastAsia="Times New Roman" w:hAnsi="Times New Roman" w:cs="Times New Roman"/>
          <w:b/>
          <w:bCs/>
          <w:sz w:val="24"/>
          <w:szCs w:val="24"/>
          <w:lang w:eastAsia="en-IN"/>
        </w:rPr>
        <w:t xml:space="preserve"> Compliance Costs for Large Banks (Annually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7"/>
        <w:gridCol w:w="3002"/>
      </w:tblGrid>
      <w:tr w:rsidR="001D46B5" w:rsidRPr="001D46B5" w14:paraId="6D3FAC86" w14:textId="77777777" w:rsidTr="001D46B5">
        <w:trPr>
          <w:tblHeader/>
          <w:tblCellSpacing w:w="15" w:type="dxa"/>
        </w:trPr>
        <w:tc>
          <w:tcPr>
            <w:tcW w:w="0" w:type="auto"/>
            <w:vAlign w:val="center"/>
            <w:hideMark/>
          </w:tcPr>
          <w:p w14:paraId="27FF8E9F" w14:textId="77777777" w:rsidR="001D46B5" w:rsidRPr="001D46B5" w:rsidRDefault="001D46B5" w:rsidP="001D46B5">
            <w:pPr>
              <w:spacing w:after="0" w:line="240" w:lineRule="auto"/>
              <w:jc w:val="center"/>
              <w:rPr>
                <w:rFonts w:ascii="Times New Roman" w:eastAsia="Times New Roman" w:hAnsi="Times New Roman" w:cs="Times New Roman"/>
                <w:b/>
                <w:bCs/>
                <w:sz w:val="24"/>
                <w:szCs w:val="24"/>
                <w:lang w:eastAsia="en-IN"/>
              </w:rPr>
            </w:pPr>
            <w:r w:rsidRPr="001D46B5">
              <w:rPr>
                <w:rFonts w:ascii="Times New Roman" w:eastAsia="Times New Roman" w:hAnsi="Times New Roman" w:cs="Times New Roman"/>
                <w:b/>
                <w:bCs/>
                <w:sz w:val="24"/>
                <w:szCs w:val="24"/>
                <w:lang w:eastAsia="en-IN"/>
              </w:rPr>
              <w:t>Year</w:t>
            </w:r>
          </w:p>
        </w:tc>
        <w:tc>
          <w:tcPr>
            <w:tcW w:w="0" w:type="auto"/>
            <w:vAlign w:val="center"/>
            <w:hideMark/>
          </w:tcPr>
          <w:p w14:paraId="120F3A63" w14:textId="77777777" w:rsidR="001D46B5" w:rsidRPr="001D46B5" w:rsidRDefault="001D46B5" w:rsidP="001D46B5">
            <w:pPr>
              <w:spacing w:after="0" w:line="240" w:lineRule="auto"/>
              <w:jc w:val="center"/>
              <w:rPr>
                <w:rFonts w:ascii="Times New Roman" w:eastAsia="Times New Roman" w:hAnsi="Times New Roman" w:cs="Times New Roman"/>
                <w:b/>
                <w:bCs/>
                <w:sz w:val="24"/>
                <w:szCs w:val="24"/>
                <w:lang w:eastAsia="en-IN"/>
              </w:rPr>
            </w:pPr>
            <w:r w:rsidRPr="001D46B5">
              <w:rPr>
                <w:rFonts w:ascii="Times New Roman" w:eastAsia="Times New Roman" w:hAnsi="Times New Roman" w:cs="Times New Roman"/>
                <w:b/>
                <w:bCs/>
                <w:sz w:val="24"/>
                <w:szCs w:val="24"/>
                <w:lang w:eastAsia="en-IN"/>
              </w:rPr>
              <w:t>Compliance Costs ($ Billion)</w:t>
            </w:r>
          </w:p>
        </w:tc>
      </w:tr>
      <w:tr w:rsidR="0061269D" w:rsidRPr="001D46B5" w14:paraId="59EDF6AC" w14:textId="77777777" w:rsidTr="001D46B5">
        <w:trPr>
          <w:tblHeader/>
          <w:tblCellSpacing w:w="15" w:type="dxa"/>
        </w:trPr>
        <w:tc>
          <w:tcPr>
            <w:tcW w:w="0" w:type="auto"/>
            <w:vAlign w:val="center"/>
          </w:tcPr>
          <w:tbl>
            <w:tblPr>
              <w:tblStyle w:val="TableGrid"/>
              <w:tblW w:w="0" w:type="auto"/>
              <w:tblLook w:val="04A0" w:firstRow="1" w:lastRow="0" w:firstColumn="1" w:lastColumn="0" w:noHBand="0" w:noVBand="1"/>
            </w:tblPr>
            <w:tblGrid>
              <w:gridCol w:w="696"/>
              <w:gridCol w:w="516"/>
            </w:tblGrid>
            <w:tr w:rsidR="0061269D" w14:paraId="03FBBAC9" w14:textId="77777777" w:rsidTr="0061269D">
              <w:tc>
                <w:tcPr>
                  <w:tcW w:w="696" w:type="dxa"/>
                  <w:vAlign w:val="center"/>
                </w:tcPr>
                <w:p w14:paraId="3ECA723D" w14:textId="77777777" w:rsidR="0061269D" w:rsidRPr="001D46B5" w:rsidRDefault="0061269D" w:rsidP="0061269D">
                  <w:pPr>
                    <w:rPr>
                      <w:rFonts w:ascii="Times New Roman" w:eastAsia="Times New Roman" w:hAnsi="Times New Roman" w:cs="Times New Roman"/>
                      <w:sz w:val="24"/>
                      <w:szCs w:val="24"/>
                      <w:lang w:eastAsia="en-IN"/>
                    </w:rPr>
                  </w:pPr>
                  <w:r w:rsidRPr="001D46B5">
                    <w:rPr>
                      <w:rFonts w:ascii="Times New Roman" w:eastAsia="Times New Roman" w:hAnsi="Times New Roman" w:cs="Times New Roman"/>
                      <w:sz w:val="24"/>
                      <w:szCs w:val="24"/>
                      <w:lang w:eastAsia="en-IN"/>
                    </w:rPr>
                    <w:t>2015</w:t>
                  </w:r>
                </w:p>
              </w:tc>
              <w:tc>
                <w:tcPr>
                  <w:tcW w:w="360" w:type="dxa"/>
                  <w:vAlign w:val="center"/>
                </w:tcPr>
                <w:p w14:paraId="778D54D1" w14:textId="77777777" w:rsidR="0061269D" w:rsidRPr="001D46B5" w:rsidRDefault="0061269D" w:rsidP="0061269D">
                  <w:pPr>
                    <w:rPr>
                      <w:rFonts w:ascii="Times New Roman" w:eastAsia="Times New Roman" w:hAnsi="Times New Roman" w:cs="Times New Roman"/>
                      <w:sz w:val="24"/>
                      <w:szCs w:val="24"/>
                      <w:lang w:eastAsia="en-IN"/>
                    </w:rPr>
                  </w:pPr>
                  <w:r w:rsidRPr="001D46B5">
                    <w:rPr>
                      <w:rFonts w:ascii="Times New Roman" w:eastAsia="Times New Roman" w:hAnsi="Times New Roman" w:cs="Times New Roman"/>
                      <w:sz w:val="24"/>
                      <w:szCs w:val="24"/>
                      <w:lang w:eastAsia="en-IN"/>
                    </w:rPr>
                    <w:t>1.0</w:t>
                  </w:r>
                </w:p>
              </w:tc>
            </w:tr>
            <w:tr w:rsidR="0061269D" w14:paraId="5B53AC2A" w14:textId="77777777" w:rsidTr="0061269D">
              <w:tc>
                <w:tcPr>
                  <w:tcW w:w="696" w:type="dxa"/>
                  <w:vAlign w:val="center"/>
                </w:tcPr>
                <w:p w14:paraId="6B395103" w14:textId="77777777" w:rsidR="0061269D" w:rsidRPr="001D46B5" w:rsidRDefault="0061269D" w:rsidP="0061269D">
                  <w:pPr>
                    <w:rPr>
                      <w:rFonts w:ascii="Times New Roman" w:eastAsia="Times New Roman" w:hAnsi="Times New Roman" w:cs="Times New Roman"/>
                      <w:sz w:val="24"/>
                      <w:szCs w:val="24"/>
                      <w:lang w:eastAsia="en-IN"/>
                    </w:rPr>
                  </w:pPr>
                  <w:r w:rsidRPr="001D46B5">
                    <w:rPr>
                      <w:rFonts w:ascii="Times New Roman" w:eastAsia="Times New Roman" w:hAnsi="Times New Roman" w:cs="Times New Roman"/>
                      <w:sz w:val="24"/>
                      <w:szCs w:val="24"/>
                      <w:lang w:eastAsia="en-IN"/>
                    </w:rPr>
                    <w:t>2016</w:t>
                  </w:r>
                </w:p>
              </w:tc>
              <w:tc>
                <w:tcPr>
                  <w:tcW w:w="360" w:type="dxa"/>
                  <w:vAlign w:val="center"/>
                </w:tcPr>
                <w:p w14:paraId="10E5CF70" w14:textId="77777777" w:rsidR="0061269D" w:rsidRPr="001D46B5" w:rsidRDefault="0061269D" w:rsidP="0061269D">
                  <w:pPr>
                    <w:rPr>
                      <w:rFonts w:ascii="Times New Roman" w:eastAsia="Times New Roman" w:hAnsi="Times New Roman" w:cs="Times New Roman"/>
                      <w:sz w:val="24"/>
                      <w:szCs w:val="24"/>
                      <w:lang w:eastAsia="en-IN"/>
                    </w:rPr>
                  </w:pPr>
                  <w:r w:rsidRPr="001D46B5">
                    <w:rPr>
                      <w:rFonts w:ascii="Times New Roman" w:eastAsia="Times New Roman" w:hAnsi="Times New Roman" w:cs="Times New Roman"/>
                      <w:sz w:val="24"/>
                      <w:szCs w:val="24"/>
                      <w:lang w:eastAsia="en-IN"/>
                    </w:rPr>
                    <w:t>1.2</w:t>
                  </w:r>
                </w:p>
              </w:tc>
            </w:tr>
            <w:tr w:rsidR="0061269D" w14:paraId="5359EF4F" w14:textId="77777777" w:rsidTr="0061269D">
              <w:tc>
                <w:tcPr>
                  <w:tcW w:w="696" w:type="dxa"/>
                  <w:vAlign w:val="center"/>
                </w:tcPr>
                <w:p w14:paraId="3400B51B" w14:textId="77777777" w:rsidR="0061269D" w:rsidRPr="001D46B5" w:rsidRDefault="0061269D" w:rsidP="0061269D">
                  <w:pPr>
                    <w:rPr>
                      <w:rFonts w:ascii="Times New Roman" w:eastAsia="Times New Roman" w:hAnsi="Times New Roman" w:cs="Times New Roman"/>
                      <w:sz w:val="24"/>
                      <w:szCs w:val="24"/>
                      <w:lang w:eastAsia="en-IN"/>
                    </w:rPr>
                  </w:pPr>
                  <w:r w:rsidRPr="001D46B5">
                    <w:rPr>
                      <w:rFonts w:ascii="Times New Roman" w:eastAsia="Times New Roman" w:hAnsi="Times New Roman" w:cs="Times New Roman"/>
                      <w:sz w:val="24"/>
                      <w:szCs w:val="24"/>
                      <w:lang w:eastAsia="en-IN"/>
                    </w:rPr>
                    <w:t>2017</w:t>
                  </w:r>
                </w:p>
              </w:tc>
              <w:tc>
                <w:tcPr>
                  <w:tcW w:w="360" w:type="dxa"/>
                  <w:vAlign w:val="center"/>
                </w:tcPr>
                <w:p w14:paraId="1A308B3A" w14:textId="77777777" w:rsidR="0061269D" w:rsidRPr="001D46B5" w:rsidRDefault="0061269D" w:rsidP="0061269D">
                  <w:pPr>
                    <w:rPr>
                      <w:rFonts w:ascii="Times New Roman" w:eastAsia="Times New Roman" w:hAnsi="Times New Roman" w:cs="Times New Roman"/>
                      <w:sz w:val="24"/>
                      <w:szCs w:val="24"/>
                      <w:lang w:eastAsia="en-IN"/>
                    </w:rPr>
                  </w:pPr>
                  <w:r w:rsidRPr="001D46B5">
                    <w:rPr>
                      <w:rFonts w:ascii="Times New Roman" w:eastAsia="Times New Roman" w:hAnsi="Times New Roman" w:cs="Times New Roman"/>
                      <w:sz w:val="24"/>
                      <w:szCs w:val="24"/>
                      <w:lang w:eastAsia="en-IN"/>
                    </w:rPr>
                    <w:t>1.5</w:t>
                  </w:r>
                </w:p>
              </w:tc>
            </w:tr>
            <w:tr w:rsidR="0061269D" w14:paraId="52E53D2B" w14:textId="77777777" w:rsidTr="0061269D">
              <w:tc>
                <w:tcPr>
                  <w:tcW w:w="696" w:type="dxa"/>
                  <w:vAlign w:val="center"/>
                </w:tcPr>
                <w:p w14:paraId="3C3E8F3A" w14:textId="77777777" w:rsidR="0061269D" w:rsidRPr="001D46B5" w:rsidRDefault="0061269D" w:rsidP="0061269D">
                  <w:pPr>
                    <w:rPr>
                      <w:rFonts w:ascii="Times New Roman" w:eastAsia="Times New Roman" w:hAnsi="Times New Roman" w:cs="Times New Roman"/>
                      <w:sz w:val="24"/>
                      <w:szCs w:val="24"/>
                      <w:lang w:eastAsia="en-IN"/>
                    </w:rPr>
                  </w:pPr>
                  <w:r w:rsidRPr="001D46B5">
                    <w:rPr>
                      <w:rFonts w:ascii="Times New Roman" w:eastAsia="Times New Roman" w:hAnsi="Times New Roman" w:cs="Times New Roman"/>
                      <w:sz w:val="24"/>
                      <w:szCs w:val="24"/>
                      <w:lang w:eastAsia="en-IN"/>
                    </w:rPr>
                    <w:t>2018</w:t>
                  </w:r>
                </w:p>
              </w:tc>
              <w:tc>
                <w:tcPr>
                  <w:tcW w:w="360" w:type="dxa"/>
                  <w:vAlign w:val="center"/>
                </w:tcPr>
                <w:p w14:paraId="470982A1" w14:textId="77777777" w:rsidR="0061269D" w:rsidRPr="001D46B5" w:rsidRDefault="0061269D" w:rsidP="0061269D">
                  <w:pPr>
                    <w:rPr>
                      <w:rFonts w:ascii="Times New Roman" w:eastAsia="Times New Roman" w:hAnsi="Times New Roman" w:cs="Times New Roman"/>
                      <w:sz w:val="24"/>
                      <w:szCs w:val="24"/>
                      <w:lang w:eastAsia="en-IN"/>
                    </w:rPr>
                  </w:pPr>
                  <w:r w:rsidRPr="001D46B5">
                    <w:rPr>
                      <w:rFonts w:ascii="Times New Roman" w:eastAsia="Times New Roman" w:hAnsi="Times New Roman" w:cs="Times New Roman"/>
                      <w:sz w:val="24"/>
                      <w:szCs w:val="24"/>
                      <w:lang w:eastAsia="en-IN"/>
                    </w:rPr>
                    <w:t>1.8</w:t>
                  </w:r>
                </w:p>
              </w:tc>
            </w:tr>
            <w:tr w:rsidR="0061269D" w14:paraId="1BF1D92B" w14:textId="77777777" w:rsidTr="0061269D">
              <w:tc>
                <w:tcPr>
                  <w:tcW w:w="696" w:type="dxa"/>
                  <w:vAlign w:val="center"/>
                </w:tcPr>
                <w:p w14:paraId="3F687CED" w14:textId="77777777" w:rsidR="0061269D" w:rsidRPr="001D46B5" w:rsidRDefault="0061269D" w:rsidP="0061269D">
                  <w:pPr>
                    <w:rPr>
                      <w:rFonts w:ascii="Times New Roman" w:eastAsia="Times New Roman" w:hAnsi="Times New Roman" w:cs="Times New Roman"/>
                      <w:sz w:val="24"/>
                      <w:szCs w:val="24"/>
                      <w:lang w:eastAsia="en-IN"/>
                    </w:rPr>
                  </w:pPr>
                  <w:r w:rsidRPr="001D46B5">
                    <w:rPr>
                      <w:rFonts w:ascii="Times New Roman" w:eastAsia="Times New Roman" w:hAnsi="Times New Roman" w:cs="Times New Roman"/>
                      <w:sz w:val="24"/>
                      <w:szCs w:val="24"/>
                      <w:lang w:eastAsia="en-IN"/>
                    </w:rPr>
                    <w:t>2019</w:t>
                  </w:r>
                </w:p>
              </w:tc>
              <w:tc>
                <w:tcPr>
                  <w:tcW w:w="360" w:type="dxa"/>
                  <w:vAlign w:val="center"/>
                </w:tcPr>
                <w:p w14:paraId="268D75ED" w14:textId="77777777" w:rsidR="0061269D" w:rsidRPr="001D46B5" w:rsidRDefault="0061269D" w:rsidP="0061269D">
                  <w:pPr>
                    <w:rPr>
                      <w:rFonts w:ascii="Times New Roman" w:eastAsia="Times New Roman" w:hAnsi="Times New Roman" w:cs="Times New Roman"/>
                      <w:sz w:val="24"/>
                      <w:szCs w:val="24"/>
                      <w:lang w:eastAsia="en-IN"/>
                    </w:rPr>
                  </w:pPr>
                  <w:r w:rsidRPr="001D46B5">
                    <w:rPr>
                      <w:rFonts w:ascii="Times New Roman" w:eastAsia="Times New Roman" w:hAnsi="Times New Roman" w:cs="Times New Roman"/>
                      <w:sz w:val="24"/>
                      <w:szCs w:val="24"/>
                      <w:lang w:eastAsia="en-IN"/>
                    </w:rPr>
                    <w:t>2.0</w:t>
                  </w:r>
                </w:p>
              </w:tc>
            </w:tr>
          </w:tbl>
          <w:p w14:paraId="282518D2" w14:textId="77777777" w:rsidR="0061269D" w:rsidRPr="001D46B5" w:rsidRDefault="0061269D" w:rsidP="001D46B5">
            <w:pPr>
              <w:spacing w:after="0" w:line="240" w:lineRule="auto"/>
              <w:jc w:val="center"/>
              <w:rPr>
                <w:rFonts w:ascii="Times New Roman" w:eastAsia="Times New Roman" w:hAnsi="Times New Roman" w:cs="Times New Roman"/>
                <w:b/>
                <w:bCs/>
                <w:sz w:val="24"/>
                <w:szCs w:val="24"/>
                <w:lang w:eastAsia="en-IN"/>
              </w:rPr>
            </w:pPr>
          </w:p>
        </w:tc>
        <w:tc>
          <w:tcPr>
            <w:tcW w:w="0" w:type="auto"/>
            <w:vAlign w:val="center"/>
          </w:tcPr>
          <w:p w14:paraId="3235EDBB" w14:textId="77777777" w:rsidR="0061269D" w:rsidRPr="001D46B5" w:rsidRDefault="0061269D" w:rsidP="001D46B5">
            <w:pPr>
              <w:spacing w:after="0" w:line="240" w:lineRule="auto"/>
              <w:jc w:val="center"/>
              <w:rPr>
                <w:rFonts w:ascii="Times New Roman" w:eastAsia="Times New Roman" w:hAnsi="Times New Roman" w:cs="Times New Roman"/>
                <w:b/>
                <w:bCs/>
                <w:sz w:val="24"/>
                <w:szCs w:val="24"/>
                <w:lang w:eastAsia="en-IN"/>
              </w:rPr>
            </w:pPr>
          </w:p>
        </w:tc>
      </w:tr>
      <w:tr w:rsidR="001D46B5" w:rsidRPr="001D46B5" w14:paraId="790701C9" w14:textId="77777777" w:rsidTr="001D46B5">
        <w:trPr>
          <w:tblCellSpacing w:w="15" w:type="dxa"/>
        </w:trPr>
        <w:tc>
          <w:tcPr>
            <w:tcW w:w="0" w:type="auto"/>
            <w:vAlign w:val="center"/>
            <w:hideMark/>
          </w:tcPr>
          <w:p w14:paraId="191D193A" w14:textId="77777777" w:rsidR="001D46B5" w:rsidRPr="001D46B5" w:rsidRDefault="001D46B5" w:rsidP="001D46B5">
            <w:pPr>
              <w:spacing w:after="0" w:line="240" w:lineRule="auto"/>
              <w:rPr>
                <w:rFonts w:ascii="Times New Roman" w:eastAsia="Times New Roman" w:hAnsi="Times New Roman" w:cs="Times New Roman"/>
                <w:sz w:val="24"/>
                <w:szCs w:val="24"/>
                <w:lang w:eastAsia="en-IN"/>
              </w:rPr>
            </w:pPr>
          </w:p>
        </w:tc>
        <w:tc>
          <w:tcPr>
            <w:tcW w:w="0" w:type="auto"/>
            <w:vAlign w:val="center"/>
            <w:hideMark/>
          </w:tcPr>
          <w:p w14:paraId="0C5D7966" w14:textId="77777777" w:rsidR="001D46B5" w:rsidRPr="001D46B5" w:rsidRDefault="001D46B5" w:rsidP="001D46B5">
            <w:pPr>
              <w:spacing w:after="0" w:line="240" w:lineRule="auto"/>
              <w:rPr>
                <w:rFonts w:ascii="Times New Roman" w:eastAsia="Times New Roman" w:hAnsi="Times New Roman" w:cs="Times New Roman"/>
                <w:sz w:val="24"/>
                <w:szCs w:val="24"/>
                <w:lang w:eastAsia="en-IN"/>
              </w:rPr>
            </w:pPr>
          </w:p>
        </w:tc>
      </w:tr>
    </w:tbl>
    <w:p w14:paraId="5ECD0F20" w14:textId="7C52C681" w:rsidR="001D46B5" w:rsidRDefault="001D46B5" w:rsidP="001D46B5">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1D46B5">
        <w:rPr>
          <w:rFonts w:ascii="Times New Roman" w:eastAsia="Times New Roman" w:hAnsi="Times New Roman" w:cs="Times New Roman"/>
          <w:b/>
          <w:bCs/>
          <w:sz w:val="24"/>
          <w:szCs w:val="24"/>
          <w:lang w:eastAsia="en-IN"/>
        </w:rPr>
        <w:t xml:space="preserve"> Reporting Metrics Requirements</w:t>
      </w:r>
    </w:p>
    <w:tbl>
      <w:tblPr>
        <w:tblStyle w:val="TableGrid"/>
        <w:tblW w:w="0" w:type="auto"/>
        <w:tblLook w:val="04A0" w:firstRow="1" w:lastRow="0" w:firstColumn="1" w:lastColumn="0" w:noHBand="0" w:noVBand="1"/>
      </w:tblPr>
      <w:tblGrid>
        <w:gridCol w:w="4508"/>
        <w:gridCol w:w="4508"/>
      </w:tblGrid>
      <w:tr w:rsidR="0061269D" w14:paraId="589ED769" w14:textId="77777777" w:rsidTr="0061269D">
        <w:tc>
          <w:tcPr>
            <w:tcW w:w="4508" w:type="dxa"/>
          </w:tcPr>
          <w:p w14:paraId="7BCA2FB0" w14:textId="77777777" w:rsidR="0061269D" w:rsidRDefault="0061269D" w:rsidP="001D46B5">
            <w:pPr>
              <w:spacing w:before="100" w:beforeAutospacing="1" w:after="100" w:afterAutospacing="1"/>
              <w:outlineLvl w:val="3"/>
              <w:rPr>
                <w:rFonts w:ascii="Times New Roman" w:eastAsia="Times New Roman" w:hAnsi="Times New Roman" w:cs="Times New Roman"/>
                <w:b/>
                <w:bCs/>
                <w:sz w:val="24"/>
                <w:szCs w:val="24"/>
                <w:lang w:eastAsia="en-IN"/>
              </w:rPr>
            </w:pPr>
            <w:r w:rsidRPr="001D46B5">
              <w:rPr>
                <w:rFonts w:ascii="Times New Roman" w:eastAsia="Times New Roman" w:hAnsi="Times New Roman" w:cs="Times New Roman"/>
                <w:b/>
                <w:bCs/>
                <w:sz w:val="24"/>
                <w:szCs w:val="24"/>
                <w:lang w:eastAsia="en-IN"/>
              </w:rPr>
              <w:t>Metric Category</w:t>
            </w:r>
          </w:p>
        </w:tc>
        <w:tc>
          <w:tcPr>
            <w:tcW w:w="4508" w:type="dxa"/>
          </w:tcPr>
          <w:p w14:paraId="169476D0" w14:textId="77777777" w:rsidR="0061269D" w:rsidRDefault="0061269D" w:rsidP="001D46B5">
            <w:pPr>
              <w:spacing w:before="100" w:beforeAutospacing="1" w:after="100" w:afterAutospacing="1"/>
              <w:outlineLvl w:val="3"/>
              <w:rPr>
                <w:rFonts w:ascii="Times New Roman" w:eastAsia="Times New Roman" w:hAnsi="Times New Roman" w:cs="Times New Roman"/>
                <w:b/>
                <w:bCs/>
                <w:sz w:val="24"/>
                <w:szCs w:val="24"/>
                <w:lang w:eastAsia="en-IN"/>
              </w:rPr>
            </w:pPr>
            <w:r w:rsidRPr="001D46B5">
              <w:rPr>
                <w:rFonts w:ascii="Times New Roman" w:eastAsia="Times New Roman" w:hAnsi="Times New Roman" w:cs="Times New Roman"/>
                <w:b/>
                <w:bCs/>
                <w:sz w:val="24"/>
                <w:szCs w:val="24"/>
                <w:lang w:eastAsia="en-IN"/>
              </w:rPr>
              <w:t>Number of Metrics</w:t>
            </w:r>
          </w:p>
        </w:tc>
      </w:tr>
      <w:tr w:rsidR="0061269D" w14:paraId="6523042B" w14:textId="77777777" w:rsidTr="003264A6">
        <w:tc>
          <w:tcPr>
            <w:tcW w:w="4508" w:type="dxa"/>
            <w:vAlign w:val="center"/>
          </w:tcPr>
          <w:p w14:paraId="60BACCC8" w14:textId="77777777" w:rsidR="0061269D" w:rsidRPr="001D46B5" w:rsidRDefault="0061269D" w:rsidP="0061269D">
            <w:pPr>
              <w:rPr>
                <w:rFonts w:ascii="Times New Roman" w:eastAsia="Times New Roman" w:hAnsi="Times New Roman" w:cs="Times New Roman"/>
                <w:sz w:val="24"/>
                <w:szCs w:val="24"/>
                <w:lang w:eastAsia="en-IN"/>
              </w:rPr>
            </w:pPr>
            <w:r w:rsidRPr="001D46B5">
              <w:rPr>
                <w:rFonts w:ascii="Times New Roman" w:eastAsia="Times New Roman" w:hAnsi="Times New Roman" w:cs="Times New Roman"/>
                <w:sz w:val="24"/>
                <w:szCs w:val="24"/>
                <w:lang w:eastAsia="en-IN"/>
              </w:rPr>
              <w:t>Risk Management</w:t>
            </w:r>
          </w:p>
        </w:tc>
        <w:tc>
          <w:tcPr>
            <w:tcW w:w="4508" w:type="dxa"/>
            <w:vAlign w:val="center"/>
          </w:tcPr>
          <w:p w14:paraId="794EF53C" w14:textId="77777777" w:rsidR="0061269D" w:rsidRPr="001D46B5" w:rsidRDefault="0061269D" w:rsidP="0061269D">
            <w:pPr>
              <w:rPr>
                <w:rFonts w:ascii="Times New Roman" w:eastAsia="Times New Roman" w:hAnsi="Times New Roman" w:cs="Times New Roman"/>
                <w:sz w:val="24"/>
                <w:szCs w:val="24"/>
                <w:lang w:eastAsia="en-IN"/>
              </w:rPr>
            </w:pPr>
            <w:r w:rsidRPr="001D46B5">
              <w:rPr>
                <w:rFonts w:ascii="Times New Roman" w:eastAsia="Times New Roman" w:hAnsi="Times New Roman" w:cs="Times New Roman"/>
                <w:sz w:val="24"/>
                <w:szCs w:val="24"/>
                <w:lang w:eastAsia="en-IN"/>
              </w:rPr>
              <w:t>5</w:t>
            </w:r>
          </w:p>
        </w:tc>
      </w:tr>
      <w:tr w:rsidR="0061269D" w14:paraId="37A5D498" w14:textId="77777777" w:rsidTr="003264A6">
        <w:tc>
          <w:tcPr>
            <w:tcW w:w="4508" w:type="dxa"/>
            <w:vAlign w:val="center"/>
          </w:tcPr>
          <w:p w14:paraId="0B63CBC0" w14:textId="77777777" w:rsidR="0061269D" w:rsidRPr="001D46B5" w:rsidRDefault="0061269D" w:rsidP="0061269D">
            <w:pPr>
              <w:rPr>
                <w:rFonts w:ascii="Times New Roman" w:eastAsia="Times New Roman" w:hAnsi="Times New Roman" w:cs="Times New Roman"/>
                <w:sz w:val="24"/>
                <w:szCs w:val="24"/>
                <w:lang w:eastAsia="en-IN"/>
              </w:rPr>
            </w:pPr>
            <w:r w:rsidRPr="001D46B5">
              <w:rPr>
                <w:rFonts w:ascii="Times New Roman" w:eastAsia="Times New Roman" w:hAnsi="Times New Roman" w:cs="Times New Roman"/>
                <w:sz w:val="24"/>
                <w:szCs w:val="24"/>
                <w:lang w:eastAsia="en-IN"/>
              </w:rPr>
              <w:t>Trading Positions</w:t>
            </w:r>
          </w:p>
        </w:tc>
        <w:tc>
          <w:tcPr>
            <w:tcW w:w="4508" w:type="dxa"/>
            <w:vAlign w:val="center"/>
          </w:tcPr>
          <w:p w14:paraId="0E8C4E55" w14:textId="77777777" w:rsidR="0061269D" w:rsidRPr="001D46B5" w:rsidRDefault="0061269D" w:rsidP="0061269D">
            <w:pPr>
              <w:rPr>
                <w:rFonts w:ascii="Times New Roman" w:eastAsia="Times New Roman" w:hAnsi="Times New Roman" w:cs="Times New Roman"/>
                <w:sz w:val="24"/>
                <w:szCs w:val="24"/>
                <w:lang w:eastAsia="en-IN"/>
              </w:rPr>
            </w:pPr>
            <w:r w:rsidRPr="001D46B5">
              <w:rPr>
                <w:rFonts w:ascii="Times New Roman" w:eastAsia="Times New Roman" w:hAnsi="Times New Roman" w:cs="Times New Roman"/>
                <w:sz w:val="24"/>
                <w:szCs w:val="24"/>
                <w:lang w:eastAsia="en-IN"/>
              </w:rPr>
              <w:t>4</w:t>
            </w:r>
          </w:p>
        </w:tc>
      </w:tr>
      <w:tr w:rsidR="0061269D" w14:paraId="2305B9FB" w14:textId="77777777" w:rsidTr="003264A6">
        <w:tc>
          <w:tcPr>
            <w:tcW w:w="4508" w:type="dxa"/>
            <w:vAlign w:val="center"/>
          </w:tcPr>
          <w:p w14:paraId="6FD98A28" w14:textId="77777777" w:rsidR="0061269D" w:rsidRPr="001D46B5" w:rsidRDefault="0061269D" w:rsidP="0061269D">
            <w:pPr>
              <w:rPr>
                <w:rFonts w:ascii="Times New Roman" w:eastAsia="Times New Roman" w:hAnsi="Times New Roman" w:cs="Times New Roman"/>
                <w:sz w:val="24"/>
                <w:szCs w:val="24"/>
                <w:lang w:eastAsia="en-IN"/>
              </w:rPr>
            </w:pPr>
            <w:r w:rsidRPr="001D46B5">
              <w:rPr>
                <w:rFonts w:ascii="Times New Roman" w:eastAsia="Times New Roman" w:hAnsi="Times New Roman" w:cs="Times New Roman"/>
                <w:sz w:val="24"/>
                <w:szCs w:val="24"/>
                <w:lang w:eastAsia="en-IN"/>
              </w:rPr>
              <w:t>Hedging Activities</w:t>
            </w:r>
          </w:p>
        </w:tc>
        <w:tc>
          <w:tcPr>
            <w:tcW w:w="4508" w:type="dxa"/>
            <w:vAlign w:val="center"/>
          </w:tcPr>
          <w:p w14:paraId="0796108E" w14:textId="77777777" w:rsidR="0061269D" w:rsidRPr="001D46B5" w:rsidRDefault="0061269D" w:rsidP="0061269D">
            <w:pPr>
              <w:rPr>
                <w:rFonts w:ascii="Times New Roman" w:eastAsia="Times New Roman" w:hAnsi="Times New Roman" w:cs="Times New Roman"/>
                <w:sz w:val="24"/>
                <w:szCs w:val="24"/>
                <w:lang w:eastAsia="en-IN"/>
              </w:rPr>
            </w:pPr>
            <w:r w:rsidRPr="001D46B5">
              <w:rPr>
                <w:rFonts w:ascii="Times New Roman" w:eastAsia="Times New Roman" w:hAnsi="Times New Roman" w:cs="Times New Roman"/>
                <w:sz w:val="24"/>
                <w:szCs w:val="24"/>
                <w:lang w:eastAsia="en-IN"/>
              </w:rPr>
              <w:t>3</w:t>
            </w:r>
          </w:p>
        </w:tc>
      </w:tr>
      <w:tr w:rsidR="0061269D" w14:paraId="3A2744AF" w14:textId="77777777" w:rsidTr="003264A6">
        <w:tc>
          <w:tcPr>
            <w:tcW w:w="4508" w:type="dxa"/>
            <w:vAlign w:val="center"/>
          </w:tcPr>
          <w:p w14:paraId="2DBC93F9" w14:textId="77777777" w:rsidR="0061269D" w:rsidRPr="001D46B5" w:rsidRDefault="0061269D" w:rsidP="0061269D">
            <w:pPr>
              <w:rPr>
                <w:rFonts w:ascii="Times New Roman" w:eastAsia="Times New Roman" w:hAnsi="Times New Roman" w:cs="Times New Roman"/>
                <w:sz w:val="24"/>
                <w:szCs w:val="24"/>
                <w:lang w:eastAsia="en-IN"/>
              </w:rPr>
            </w:pPr>
            <w:r w:rsidRPr="001D46B5">
              <w:rPr>
                <w:rFonts w:ascii="Times New Roman" w:eastAsia="Times New Roman" w:hAnsi="Times New Roman" w:cs="Times New Roman"/>
                <w:sz w:val="24"/>
                <w:szCs w:val="24"/>
                <w:lang w:eastAsia="en-IN"/>
              </w:rPr>
              <w:t>Financial Positions</w:t>
            </w:r>
          </w:p>
        </w:tc>
        <w:tc>
          <w:tcPr>
            <w:tcW w:w="4508" w:type="dxa"/>
            <w:vAlign w:val="center"/>
          </w:tcPr>
          <w:p w14:paraId="36857D5E" w14:textId="77777777" w:rsidR="0061269D" w:rsidRPr="001D46B5" w:rsidRDefault="0061269D" w:rsidP="0061269D">
            <w:pPr>
              <w:rPr>
                <w:rFonts w:ascii="Times New Roman" w:eastAsia="Times New Roman" w:hAnsi="Times New Roman" w:cs="Times New Roman"/>
                <w:sz w:val="24"/>
                <w:szCs w:val="24"/>
                <w:lang w:eastAsia="en-IN"/>
              </w:rPr>
            </w:pPr>
            <w:r w:rsidRPr="001D46B5">
              <w:rPr>
                <w:rFonts w:ascii="Times New Roman" w:eastAsia="Times New Roman" w:hAnsi="Times New Roman" w:cs="Times New Roman"/>
                <w:sz w:val="24"/>
                <w:szCs w:val="24"/>
                <w:lang w:eastAsia="en-IN"/>
              </w:rPr>
              <w:t>3</w:t>
            </w:r>
          </w:p>
        </w:tc>
      </w:tr>
      <w:tr w:rsidR="0061269D" w14:paraId="6D35B997" w14:textId="77777777" w:rsidTr="003264A6">
        <w:tc>
          <w:tcPr>
            <w:tcW w:w="4508" w:type="dxa"/>
            <w:vAlign w:val="center"/>
          </w:tcPr>
          <w:p w14:paraId="0F82B6A2" w14:textId="77777777" w:rsidR="0061269D" w:rsidRPr="001D46B5" w:rsidRDefault="0061269D" w:rsidP="0061269D">
            <w:pPr>
              <w:rPr>
                <w:rFonts w:ascii="Times New Roman" w:eastAsia="Times New Roman" w:hAnsi="Times New Roman" w:cs="Times New Roman"/>
                <w:sz w:val="24"/>
                <w:szCs w:val="24"/>
                <w:lang w:eastAsia="en-IN"/>
              </w:rPr>
            </w:pPr>
            <w:r w:rsidRPr="001D46B5">
              <w:rPr>
                <w:rFonts w:ascii="Times New Roman" w:eastAsia="Times New Roman" w:hAnsi="Times New Roman" w:cs="Times New Roman"/>
                <w:sz w:val="24"/>
                <w:szCs w:val="24"/>
                <w:lang w:eastAsia="en-IN"/>
              </w:rPr>
              <w:t>Operational Metrics</w:t>
            </w:r>
          </w:p>
        </w:tc>
        <w:tc>
          <w:tcPr>
            <w:tcW w:w="4508" w:type="dxa"/>
            <w:vAlign w:val="center"/>
          </w:tcPr>
          <w:p w14:paraId="24A51C27" w14:textId="77777777" w:rsidR="0061269D" w:rsidRPr="001D46B5" w:rsidRDefault="0061269D" w:rsidP="0061269D">
            <w:pPr>
              <w:rPr>
                <w:rFonts w:ascii="Times New Roman" w:eastAsia="Times New Roman" w:hAnsi="Times New Roman" w:cs="Times New Roman"/>
                <w:sz w:val="24"/>
                <w:szCs w:val="24"/>
                <w:lang w:eastAsia="en-IN"/>
              </w:rPr>
            </w:pPr>
            <w:r w:rsidRPr="001D46B5">
              <w:rPr>
                <w:rFonts w:ascii="Times New Roman" w:eastAsia="Times New Roman" w:hAnsi="Times New Roman" w:cs="Times New Roman"/>
                <w:sz w:val="24"/>
                <w:szCs w:val="24"/>
                <w:lang w:eastAsia="en-IN"/>
              </w:rPr>
              <w:t>2</w:t>
            </w:r>
          </w:p>
        </w:tc>
      </w:tr>
      <w:tr w:rsidR="0061269D" w14:paraId="5E71DF18" w14:textId="77777777" w:rsidTr="003264A6">
        <w:tc>
          <w:tcPr>
            <w:tcW w:w="4508" w:type="dxa"/>
            <w:vAlign w:val="center"/>
          </w:tcPr>
          <w:p w14:paraId="411DC340" w14:textId="77777777" w:rsidR="0061269D" w:rsidRPr="001D46B5" w:rsidRDefault="0061269D" w:rsidP="0061269D">
            <w:pPr>
              <w:rPr>
                <w:rFonts w:ascii="Times New Roman" w:eastAsia="Times New Roman" w:hAnsi="Times New Roman" w:cs="Times New Roman"/>
                <w:sz w:val="24"/>
                <w:szCs w:val="24"/>
                <w:lang w:eastAsia="en-IN"/>
              </w:rPr>
            </w:pPr>
            <w:r w:rsidRPr="001D46B5">
              <w:rPr>
                <w:rFonts w:ascii="Times New Roman" w:eastAsia="Times New Roman" w:hAnsi="Times New Roman" w:cs="Times New Roman"/>
                <w:sz w:val="24"/>
                <w:szCs w:val="24"/>
                <w:lang w:eastAsia="en-IN"/>
              </w:rPr>
              <w:t>Total</w:t>
            </w:r>
          </w:p>
        </w:tc>
        <w:tc>
          <w:tcPr>
            <w:tcW w:w="4508" w:type="dxa"/>
            <w:vAlign w:val="center"/>
          </w:tcPr>
          <w:p w14:paraId="2DD84F95" w14:textId="77777777" w:rsidR="0061269D" w:rsidRPr="001D46B5" w:rsidRDefault="0061269D" w:rsidP="0061269D">
            <w:pPr>
              <w:rPr>
                <w:rFonts w:ascii="Times New Roman" w:eastAsia="Times New Roman" w:hAnsi="Times New Roman" w:cs="Times New Roman"/>
                <w:sz w:val="24"/>
                <w:szCs w:val="24"/>
                <w:lang w:eastAsia="en-IN"/>
              </w:rPr>
            </w:pPr>
            <w:r w:rsidRPr="001D46B5">
              <w:rPr>
                <w:rFonts w:ascii="Times New Roman" w:eastAsia="Times New Roman" w:hAnsi="Times New Roman" w:cs="Times New Roman"/>
                <w:sz w:val="24"/>
                <w:szCs w:val="24"/>
                <w:lang w:eastAsia="en-IN"/>
              </w:rPr>
              <w:t>17</w:t>
            </w:r>
          </w:p>
        </w:tc>
      </w:tr>
    </w:tbl>
    <w:p w14:paraId="7C7CF053" w14:textId="299D2DE2" w:rsidR="001D46B5" w:rsidRDefault="001D46B5" w:rsidP="001D46B5">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1D46B5">
        <w:rPr>
          <w:rFonts w:ascii="Times New Roman" w:eastAsia="Times New Roman" w:hAnsi="Times New Roman" w:cs="Times New Roman"/>
          <w:b/>
          <w:bCs/>
          <w:sz w:val="24"/>
          <w:szCs w:val="24"/>
          <w:lang w:eastAsia="en-IN"/>
        </w:rPr>
        <w:t>Investment Limits in Hedge Funds</w:t>
      </w:r>
    </w:p>
    <w:tbl>
      <w:tblPr>
        <w:tblStyle w:val="TableGrid"/>
        <w:tblW w:w="0" w:type="auto"/>
        <w:tblLook w:val="04A0" w:firstRow="1" w:lastRow="0" w:firstColumn="1" w:lastColumn="0" w:noHBand="0" w:noVBand="1"/>
      </w:tblPr>
      <w:tblGrid>
        <w:gridCol w:w="4508"/>
        <w:gridCol w:w="4508"/>
      </w:tblGrid>
      <w:tr w:rsidR="0061269D" w14:paraId="3C95B1CF" w14:textId="77777777" w:rsidTr="002E2F46">
        <w:tc>
          <w:tcPr>
            <w:tcW w:w="4508" w:type="dxa"/>
          </w:tcPr>
          <w:p w14:paraId="601C8B60" w14:textId="77777777" w:rsidR="0061269D" w:rsidRDefault="0061269D" w:rsidP="0061269D">
            <w:pPr>
              <w:spacing w:before="100" w:beforeAutospacing="1" w:after="100" w:afterAutospacing="1"/>
              <w:outlineLvl w:val="3"/>
              <w:rPr>
                <w:rFonts w:ascii="Times New Roman" w:eastAsia="Times New Roman" w:hAnsi="Times New Roman" w:cs="Times New Roman"/>
                <w:b/>
                <w:bCs/>
                <w:sz w:val="24"/>
                <w:szCs w:val="24"/>
                <w:lang w:eastAsia="en-IN"/>
              </w:rPr>
            </w:pPr>
            <w:r w:rsidRPr="001D46B5">
              <w:rPr>
                <w:rFonts w:ascii="Times New Roman" w:eastAsia="Times New Roman" w:hAnsi="Times New Roman" w:cs="Times New Roman"/>
                <w:b/>
                <w:bCs/>
                <w:sz w:val="24"/>
                <w:szCs w:val="24"/>
                <w:lang w:eastAsia="en-IN"/>
              </w:rPr>
              <w:t>Bank Tier</w:t>
            </w:r>
          </w:p>
        </w:tc>
        <w:tc>
          <w:tcPr>
            <w:tcW w:w="4508" w:type="dxa"/>
            <w:vAlign w:val="center"/>
          </w:tcPr>
          <w:p w14:paraId="421BB904" w14:textId="77777777" w:rsidR="0061269D" w:rsidRPr="001D46B5" w:rsidRDefault="0061269D" w:rsidP="0061269D">
            <w:pPr>
              <w:jc w:val="center"/>
              <w:rPr>
                <w:rFonts w:ascii="Times New Roman" w:eastAsia="Times New Roman" w:hAnsi="Times New Roman" w:cs="Times New Roman"/>
                <w:b/>
                <w:bCs/>
                <w:sz w:val="24"/>
                <w:szCs w:val="24"/>
                <w:lang w:eastAsia="en-IN"/>
              </w:rPr>
            </w:pPr>
            <w:r w:rsidRPr="001D46B5">
              <w:rPr>
                <w:rFonts w:ascii="Times New Roman" w:eastAsia="Times New Roman" w:hAnsi="Times New Roman" w:cs="Times New Roman"/>
                <w:b/>
                <w:bCs/>
                <w:sz w:val="24"/>
                <w:szCs w:val="24"/>
                <w:lang w:eastAsia="en-IN"/>
              </w:rPr>
              <w:t>Maximum Ownership Stake</w:t>
            </w:r>
          </w:p>
        </w:tc>
      </w:tr>
      <w:tr w:rsidR="0061269D" w14:paraId="4D40E6D1" w14:textId="77777777" w:rsidTr="002A6218">
        <w:tc>
          <w:tcPr>
            <w:tcW w:w="4508" w:type="dxa"/>
            <w:vAlign w:val="center"/>
          </w:tcPr>
          <w:p w14:paraId="55D3267E" w14:textId="77777777" w:rsidR="0061269D" w:rsidRPr="001D46B5" w:rsidRDefault="0061269D" w:rsidP="0061269D">
            <w:pPr>
              <w:rPr>
                <w:rFonts w:ascii="Times New Roman" w:eastAsia="Times New Roman" w:hAnsi="Times New Roman" w:cs="Times New Roman"/>
                <w:sz w:val="24"/>
                <w:szCs w:val="24"/>
                <w:lang w:eastAsia="en-IN"/>
              </w:rPr>
            </w:pPr>
            <w:r w:rsidRPr="001D46B5">
              <w:rPr>
                <w:rFonts w:ascii="Times New Roman" w:eastAsia="Times New Roman" w:hAnsi="Times New Roman" w:cs="Times New Roman"/>
                <w:sz w:val="24"/>
                <w:szCs w:val="24"/>
                <w:lang w:eastAsia="en-IN"/>
              </w:rPr>
              <w:t>Tier 1</w:t>
            </w:r>
          </w:p>
        </w:tc>
        <w:tc>
          <w:tcPr>
            <w:tcW w:w="4508" w:type="dxa"/>
            <w:vAlign w:val="center"/>
          </w:tcPr>
          <w:p w14:paraId="207896E1" w14:textId="77777777" w:rsidR="0061269D" w:rsidRPr="001D46B5" w:rsidRDefault="0061269D" w:rsidP="0061269D">
            <w:pPr>
              <w:rPr>
                <w:rFonts w:ascii="Times New Roman" w:eastAsia="Times New Roman" w:hAnsi="Times New Roman" w:cs="Times New Roman"/>
                <w:sz w:val="24"/>
                <w:szCs w:val="24"/>
                <w:lang w:eastAsia="en-IN"/>
              </w:rPr>
            </w:pPr>
            <w:r w:rsidRPr="001D46B5">
              <w:rPr>
                <w:rFonts w:ascii="Times New Roman" w:eastAsia="Times New Roman" w:hAnsi="Times New Roman" w:cs="Times New Roman"/>
                <w:sz w:val="24"/>
                <w:szCs w:val="24"/>
                <w:lang w:eastAsia="en-IN"/>
              </w:rPr>
              <w:t>3%</w:t>
            </w:r>
          </w:p>
        </w:tc>
      </w:tr>
      <w:tr w:rsidR="0061269D" w14:paraId="716FBB2F" w14:textId="77777777" w:rsidTr="002A6218">
        <w:tc>
          <w:tcPr>
            <w:tcW w:w="4508" w:type="dxa"/>
            <w:vAlign w:val="center"/>
          </w:tcPr>
          <w:p w14:paraId="4DE3B8CA" w14:textId="77777777" w:rsidR="0061269D" w:rsidRPr="001D46B5" w:rsidRDefault="0061269D" w:rsidP="0061269D">
            <w:pPr>
              <w:rPr>
                <w:rFonts w:ascii="Times New Roman" w:eastAsia="Times New Roman" w:hAnsi="Times New Roman" w:cs="Times New Roman"/>
                <w:sz w:val="24"/>
                <w:szCs w:val="24"/>
                <w:lang w:eastAsia="en-IN"/>
              </w:rPr>
            </w:pPr>
            <w:r w:rsidRPr="001D46B5">
              <w:rPr>
                <w:rFonts w:ascii="Times New Roman" w:eastAsia="Times New Roman" w:hAnsi="Times New Roman" w:cs="Times New Roman"/>
                <w:sz w:val="24"/>
                <w:szCs w:val="24"/>
                <w:lang w:eastAsia="en-IN"/>
              </w:rPr>
              <w:t>Tier 2</w:t>
            </w:r>
          </w:p>
        </w:tc>
        <w:tc>
          <w:tcPr>
            <w:tcW w:w="4508" w:type="dxa"/>
            <w:vAlign w:val="center"/>
          </w:tcPr>
          <w:p w14:paraId="3435078F" w14:textId="77777777" w:rsidR="0061269D" w:rsidRPr="001D46B5" w:rsidRDefault="0061269D" w:rsidP="0061269D">
            <w:pPr>
              <w:rPr>
                <w:rFonts w:ascii="Times New Roman" w:eastAsia="Times New Roman" w:hAnsi="Times New Roman" w:cs="Times New Roman"/>
                <w:sz w:val="24"/>
                <w:szCs w:val="24"/>
                <w:lang w:eastAsia="en-IN"/>
              </w:rPr>
            </w:pPr>
            <w:r w:rsidRPr="001D46B5">
              <w:rPr>
                <w:rFonts w:ascii="Times New Roman" w:eastAsia="Times New Roman" w:hAnsi="Times New Roman" w:cs="Times New Roman"/>
                <w:sz w:val="24"/>
                <w:szCs w:val="24"/>
                <w:lang w:eastAsia="en-IN"/>
              </w:rPr>
              <w:t>3%</w:t>
            </w:r>
          </w:p>
        </w:tc>
      </w:tr>
      <w:tr w:rsidR="0061269D" w14:paraId="0FA4598C" w14:textId="77777777" w:rsidTr="002A6218">
        <w:tc>
          <w:tcPr>
            <w:tcW w:w="4508" w:type="dxa"/>
            <w:vAlign w:val="center"/>
          </w:tcPr>
          <w:p w14:paraId="666CE9CA" w14:textId="77777777" w:rsidR="0061269D" w:rsidRPr="001D46B5" w:rsidRDefault="0061269D" w:rsidP="0061269D">
            <w:pPr>
              <w:rPr>
                <w:rFonts w:ascii="Times New Roman" w:eastAsia="Times New Roman" w:hAnsi="Times New Roman" w:cs="Times New Roman"/>
                <w:sz w:val="24"/>
                <w:szCs w:val="24"/>
                <w:lang w:eastAsia="en-IN"/>
              </w:rPr>
            </w:pPr>
            <w:r w:rsidRPr="001D46B5">
              <w:rPr>
                <w:rFonts w:ascii="Times New Roman" w:eastAsia="Times New Roman" w:hAnsi="Times New Roman" w:cs="Times New Roman"/>
                <w:sz w:val="24"/>
                <w:szCs w:val="24"/>
                <w:lang w:eastAsia="en-IN"/>
              </w:rPr>
              <w:t>Tier 3</w:t>
            </w:r>
          </w:p>
        </w:tc>
        <w:tc>
          <w:tcPr>
            <w:tcW w:w="4508" w:type="dxa"/>
            <w:vAlign w:val="center"/>
          </w:tcPr>
          <w:p w14:paraId="7B51E3FD" w14:textId="77777777" w:rsidR="0061269D" w:rsidRPr="001D46B5" w:rsidRDefault="0061269D" w:rsidP="0061269D">
            <w:pPr>
              <w:rPr>
                <w:rFonts w:ascii="Times New Roman" w:eastAsia="Times New Roman" w:hAnsi="Times New Roman" w:cs="Times New Roman"/>
                <w:sz w:val="24"/>
                <w:szCs w:val="24"/>
                <w:lang w:eastAsia="en-IN"/>
              </w:rPr>
            </w:pPr>
            <w:r w:rsidRPr="001D46B5">
              <w:rPr>
                <w:rFonts w:ascii="Times New Roman" w:eastAsia="Times New Roman" w:hAnsi="Times New Roman" w:cs="Times New Roman"/>
                <w:sz w:val="24"/>
                <w:szCs w:val="24"/>
                <w:lang w:eastAsia="en-IN"/>
              </w:rPr>
              <w:t>3%</w:t>
            </w:r>
          </w:p>
        </w:tc>
      </w:tr>
      <w:tr w:rsidR="0061269D" w14:paraId="0699F879" w14:textId="77777777" w:rsidTr="002A6218">
        <w:tc>
          <w:tcPr>
            <w:tcW w:w="4508" w:type="dxa"/>
            <w:vAlign w:val="center"/>
          </w:tcPr>
          <w:p w14:paraId="2F0C146C" w14:textId="77777777" w:rsidR="0061269D" w:rsidRPr="001D46B5" w:rsidRDefault="0061269D" w:rsidP="0061269D">
            <w:pPr>
              <w:rPr>
                <w:rFonts w:ascii="Times New Roman" w:eastAsia="Times New Roman" w:hAnsi="Times New Roman" w:cs="Times New Roman"/>
                <w:sz w:val="24"/>
                <w:szCs w:val="24"/>
                <w:lang w:eastAsia="en-IN"/>
              </w:rPr>
            </w:pPr>
            <w:r w:rsidRPr="001D46B5">
              <w:rPr>
                <w:rFonts w:ascii="Times New Roman" w:eastAsia="Times New Roman" w:hAnsi="Times New Roman" w:cs="Times New Roman"/>
                <w:sz w:val="24"/>
                <w:szCs w:val="24"/>
                <w:lang w:eastAsia="en-IN"/>
              </w:rPr>
              <w:t>Tier 4</w:t>
            </w:r>
          </w:p>
        </w:tc>
        <w:tc>
          <w:tcPr>
            <w:tcW w:w="4508" w:type="dxa"/>
            <w:vAlign w:val="center"/>
          </w:tcPr>
          <w:p w14:paraId="7D782E6D" w14:textId="77777777" w:rsidR="0061269D" w:rsidRPr="001D46B5" w:rsidRDefault="0061269D" w:rsidP="0061269D">
            <w:pPr>
              <w:rPr>
                <w:rFonts w:ascii="Times New Roman" w:eastAsia="Times New Roman" w:hAnsi="Times New Roman" w:cs="Times New Roman"/>
                <w:sz w:val="24"/>
                <w:szCs w:val="24"/>
                <w:lang w:eastAsia="en-IN"/>
              </w:rPr>
            </w:pPr>
            <w:r w:rsidRPr="001D46B5">
              <w:rPr>
                <w:rFonts w:ascii="Times New Roman" w:eastAsia="Times New Roman" w:hAnsi="Times New Roman" w:cs="Times New Roman"/>
                <w:sz w:val="24"/>
                <w:szCs w:val="24"/>
                <w:lang w:eastAsia="en-IN"/>
              </w:rPr>
              <w:t>3%</w:t>
            </w:r>
          </w:p>
        </w:tc>
      </w:tr>
    </w:tbl>
    <w:p w14:paraId="5BDDEA96" w14:textId="77777777" w:rsidR="001D46B5" w:rsidRDefault="001D46B5"/>
    <w:p w14:paraId="33C6C14B" w14:textId="77777777" w:rsidR="00177100" w:rsidRDefault="00177100" w:rsidP="001D46B5">
      <w:pPr>
        <w:pStyle w:val="Heading3"/>
      </w:pPr>
    </w:p>
    <w:p w14:paraId="6715D510" w14:textId="77777777" w:rsidR="00177100" w:rsidRDefault="00177100" w:rsidP="001D46B5">
      <w:pPr>
        <w:pStyle w:val="Heading3"/>
      </w:pPr>
    </w:p>
    <w:p w14:paraId="41BC342E" w14:textId="506842CF" w:rsidR="001D46B5" w:rsidRDefault="001D46B5" w:rsidP="00177100">
      <w:pPr>
        <w:pStyle w:val="Heading3"/>
      </w:pPr>
      <w:r>
        <w:lastRenderedPageBreak/>
        <w:t>Retail Banking Operations</w:t>
      </w:r>
    </w:p>
    <w:p w14:paraId="6C2AAF23" w14:textId="77777777" w:rsidR="001D46B5" w:rsidRDefault="001D46B5" w:rsidP="001D46B5">
      <w:pPr>
        <w:pStyle w:val="NormalWeb"/>
      </w:pPr>
      <w:r>
        <w:t>Retail banking, also known as consumer banking, involves providing financial services to individual consumers rather than businesses or institutions. It encompasses a wide range of financial products and services.</w:t>
      </w:r>
    </w:p>
    <w:p w14:paraId="3C8DB72B" w14:textId="77777777" w:rsidR="001D46B5" w:rsidRDefault="001D46B5" w:rsidP="001D46B5">
      <w:pPr>
        <w:pStyle w:val="Heading4"/>
      </w:pPr>
      <w:r>
        <w:t>Key Services</w:t>
      </w:r>
    </w:p>
    <w:p w14:paraId="23B8C45D" w14:textId="77777777" w:rsidR="001D46B5" w:rsidRDefault="001D46B5" w:rsidP="001D46B5">
      <w:pPr>
        <w:pStyle w:val="NormalWeb"/>
        <w:numPr>
          <w:ilvl w:val="0"/>
          <w:numId w:val="2"/>
        </w:numPr>
      </w:pPr>
      <w:r>
        <w:rPr>
          <w:rStyle w:val="Strong"/>
        </w:rPr>
        <w:t>Deposit Accounts</w:t>
      </w:r>
      <w:r>
        <w:t>: Retail banks offer checking accounts, savings accounts, and certificates of deposit (CDs) where customers can deposit money and earn interest.</w:t>
      </w:r>
    </w:p>
    <w:p w14:paraId="0251F22A" w14:textId="77777777" w:rsidR="001D46B5" w:rsidRDefault="001D46B5" w:rsidP="001D46B5">
      <w:pPr>
        <w:pStyle w:val="NormalWeb"/>
        <w:numPr>
          <w:ilvl w:val="0"/>
          <w:numId w:val="2"/>
        </w:numPr>
      </w:pPr>
      <w:r>
        <w:rPr>
          <w:rStyle w:val="Strong"/>
        </w:rPr>
        <w:t>Loans and Mortgages</w:t>
      </w:r>
      <w:r>
        <w:t>: Banks provide personal loans, auto loans, mortgages, and home equity lines of credit (HELOCs) to consumers.</w:t>
      </w:r>
    </w:p>
    <w:p w14:paraId="1CC3E896" w14:textId="77777777" w:rsidR="001D46B5" w:rsidRDefault="001D46B5" w:rsidP="001D46B5">
      <w:pPr>
        <w:pStyle w:val="NormalWeb"/>
        <w:numPr>
          <w:ilvl w:val="0"/>
          <w:numId w:val="2"/>
        </w:numPr>
      </w:pPr>
      <w:r>
        <w:rPr>
          <w:rStyle w:val="Strong"/>
        </w:rPr>
        <w:t>Credit and Debit Cards</w:t>
      </w:r>
      <w:r>
        <w:t>: Retail banks issue credit cards and debit cards, enabling consumers to make purchases and access their funds electronically.</w:t>
      </w:r>
    </w:p>
    <w:p w14:paraId="22BE863B" w14:textId="77777777" w:rsidR="001D46B5" w:rsidRDefault="001D46B5" w:rsidP="001D46B5">
      <w:pPr>
        <w:pStyle w:val="NormalWeb"/>
        <w:numPr>
          <w:ilvl w:val="0"/>
          <w:numId w:val="2"/>
        </w:numPr>
      </w:pPr>
      <w:r>
        <w:rPr>
          <w:rStyle w:val="Strong"/>
        </w:rPr>
        <w:t>Payment Services</w:t>
      </w:r>
      <w:r>
        <w:t>: These include electronic funds transfer (EFT), wire transfers, and bill payment services.</w:t>
      </w:r>
    </w:p>
    <w:p w14:paraId="023057B5" w14:textId="77777777" w:rsidR="001D46B5" w:rsidRDefault="001D46B5" w:rsidP="001D46B5">
      <w:pPr>
        <w:pStyle w:val="NormalWeb"/>
        <w:numPr>
          <w:ilvl w:val="0"/>
          <w:numId w:val="2"/>
        </w:numPr>
      </w:pPr>
      <w:r>
        <w:rPr>
          <w:rStyle w:val="Strong"/>
        </w:rPr>
        <w:t>Investment Services</w:t>
      </w:r>
      <w:r>
        <w:t>: Many retail banks offer investment products such as mutual funds, retirement accounts (IRAs and 401(k)s), and brokerage services.</w:t>
      </w:r>
    </w:p>
    <w:p w14:paraId="13A17F2B" w14:textId="77777777" w:rsidR="001D46B5" w:rsidRDefault="001D46B5" w:rsidP="001D46B5">
      <w:pPr>
        <w:pStyle w:val="NormalWeb"/>
        <w:numPr>
          <w:ilvl w:val="0"/>
          <w:numId w:val="2"/>
        </w:numPr>
      </w:pPr>
      <w:r>
        <w:rPr>
          <w:rStyle w:val="Strong"/>
        </w:rPr>
        <w:t>Insurance</w:t>
      </w:r>
      <w:r>
        <w:t>: Some retail banks provide insurance products, including life, health, property, and casualty insurance.</w:t>
      </w:r>
    </w:p>
    <w:p w14:paraId="359841E2" w14:textId="77777777" w:rsidR="001D46B5" w:rsidRDefault="001D46B5" w:rsidP="001D46B5">
      <w:pPr>
        <w:pStyle w:val="Heading4"/>
      </w:pPr>
      <w:r>
        <w:t>Technology and Retail Banking</w:t>
      </w:r>
    </w:p>
    <w:p w14:paraId="2D243A7E" w14:textId="77777777" w:rsidR="001D46B5" w:rsidRDefault="001D46B5" w:rsidP="001D46B5">
      <w:pPr>
        <w:pStyle w:val="NormalWeb"/>
      </w:pPr>
      <w:r>
        <w:t>The advent of technology has significantly transformed retail banking operations. Online banking, mobile banking apps, and ATMs have made banking services more accessible to consumers. Features like online account management, mobile deposits, peer-to-peer payments, and digital wallets have become commonplace.</w:t>
      </w:r>
    </w:p>
    <w:p w14:paraId="61E4C0DF" w14:textId="77777777" w:rsidR="001D46B5" w:rsidRDefault="001D46B5" w:rsidP="001D46B5">
      <w:pPr>
        <w:pStyle w:val="Heading4"/>
      </w:pPr>
      <w:r>
        <w:t>Regulatory Environment</w:t>
      </w:r>
    </w:p>
    <w:p w14:paraId="1FC827B2" w14:textId="77777777" w:rsidR="001D46B5" w:rsidRDefault="001D46B5" w:rsidP="001D46B5">
      <w:pPr>
        <w:pStyle w:val="NormalWeb"/>
      </w:pPr>
      <w:r>
        <w:t>Retail banks are heavily regulated to ensure the safety and soundness of the financial system and protect consumers. Key regulatory bodies include:</w:t>
      </w:r>
    </w:p>
    <w:p w14:paraId="5CA794BB" w14:textId="77777777" w:rsidR="001D46B5" w:rsidRDefault="001D46B5" w:rsidP="001D46B5">
      <w:pPr>
        <w:numPr>
          <w:ilvl w:val="0"/>
          <w:numId w:val="3"/>
        </w:numPr>
        <w:spacing w:before="100" w:beforeAutospacing="1" w:after="100" w:afterAutospacing="1" w:line="240" w:lineRule="auto"/>
      </w:pPr>
      <w:r>
        <w:rPr>
          <w:rStyle w:val="Strong"/>
        </w:rPr>
        <w:t>Federal Reserve</w:t>
      </w:r>
      <w:r>
        <w:t>: Oversees national monetary policy and regulates banks.</w:t>
      </w:r>
    </w:p>
    <w:p w14:paraId="2401A533" w14:textId="77777777" w:rsidR="001D46B5" w:rsidRDefault="001D46B5" w:rsidP="001D46B5">
      <w:pPr>
        <w:numPr>
          <w:ilvl w:val="0"/>
          <w:numId w:val="3"/>
        </w:numPr>
        <w:spacing w:before="100" w:beforeAutospacing="1" w:after="100" w:afterAutospacing="1" w:line="240" w:lineRule="auto"/>
      </w:pPr>
      <w:r>
        <w:rPr>
          <w:rStyle w:val="Strong"/>
        </w:rPr>
        <w:t>Office of the Comptroller of the Currency (OCC)</w:t>
      </w:r>
      <w:r>
        <w:t>: Regulates and supervises national banks and federal savings associations.</w:t>
      </w:r>
    </w:p>
    <w:p w14:paraId="6E2B5224" w14:textId="77777777" w:rsidR="001D46B5" w:rsidRDefault="001D46B5" w:rsidP="001D46B5">
      <w:pPr>
        <w:numPr>
          <w:ilvl w:val="0"/>
          <w:numId w:val="3"/>
        </w:numPr>
        <w:spacing w:before="100" w:beforeAutospacing="1" w:after="100" w:afterAutospacing="1" w:line="240" w:lineRule="auto"/>
      </w:pPr>
      <w:r>
        <w:rPr>
          <w:rStyle w:val="Strong"/>
        </w:rPr>
        <w:t>Federal Deposit Insurance Corporation (FDIC)</w:t>
      </w:r>
      <w:r>
        <w:t>: Insures deposits at banks and thrifts, promoting public confidence in the U.S. financial system.</w:t>
      </w:r>
    </w:p>
    <w:p w14:paraId="0EFB2D43" w14:textId="77777777" w:rsidR="001D46B5" w:rsidRDefault="001D46B5" w:rsidP="001D46B5">
      <w:pPr>
        <w:numPr>
          <w:ilvl w:val="0"/>
          <w:numId w:val="3"/>
        </w:numPr>
        <w:spacing w:before="100" w:beforeAutospacing="1" w:after="100" w:afterAutospacing="1" w:line="240" w:lineRule="auto"/>
      </w:pPr>
      <w:r>
        <w:rPr>
          <w:rStyle w:val="Strong"/>
        </w:rPr>
        <w:t>Consumer Financial Protection Bureau (CFPB)</w:t>
      </w:r>
      <w:r>
        <w:t>: Protects consumers from unfair, deceptive, or abusive practices in financial products and services.</w:t>
      </w:r>
    </w:p>
    <w:p w14:paraId="55041252" w14:textId="77777777" w:rsidR="001D46B5" w:rsidRDefault="001D46B5" w:rsidP="001D46B5">
      <w:pPr>
        <w:pStyle w:val="Heading4"/>
      </w:pPr>
      <w:r>
        <w:t>Trends</w:t>
      </w:r>
    </w:p>
    <w:p w14:paraId="183FA95C" w14:textId="77777777" w:rsidR="001D46B5" w:rsidRDefault="001D46B5" w:rsidP="001D46B5">
      <w:pPr>
        <w:numPr>
          <w:ilvl w:val="0"/>
          <w:numId w:val="4"/>
        </w:numPr>
        <w:spacing w:before="100" w:beforeAutospacing="1" w:after="100" w:afterAutospacing="1" w:line="240" w:lineRule="auto"/>
      </w:pPr>
      <w:r>
        <w:rPr>
          <w:rStyle w:val="Strong"/>
        </w:rPr>
        <w:t>Digital Transformation</w:t>
      </w:r>
      <w:r>
        <w:t>: There is a growing shift towards digital banking, with increased use of online and mobile banking platforms.</w:t>
      </w:r>
    </w:p>
    <w:p w14:paraId="5D50F288" w14:textId="77777777" w:rsidR="001D46B5" w:rsidRDefault="001D46B5" w:rsidP="001D46B5">
      <w:pPr>
        <w:numPr>
          <w:ilvl w:val="0"/>
          <w:numId w:val="4"/>
        </w:numPr>
        <w:spacing w:before="100" w:beforeAutospacing="1" w:after="100" w:afterAutospacing="1" w:line="240" w:lineRule="auto"/>
      </w:pPr>
      <w:r>
        <w:rPr>
          <w:rStyle w:val="Strong"/>
        </w:rPr>
        <w:t>Customer Experience</w:t>
      </w:r>
      <w:r>
        <w:t>: Banks are focusing on improving customer experience through personalized services and better user interfaces.</w:t>
      </w:r>
    </w:p>
    <w:p w14:paraId="05752985" w14:textId="77777777" w:rsidR="001D46B5" w:rsidRDefault="001D46B5" w:rsidP="001D46B5">
      <w:pPr>
        <w:numPr>
          <w:ilvl w:val="0"/>
          <w:numId w:val="4"/>
        </w:numPr>
        <w:spacing w:before="100" w:beforeAutospacing="1" w:after="100" w:afterAutospacing="1" w:line="240" w:lineRule="auto"/>
      </w:pPr>
      <w:r>
        <w:rPr>
          <w:rStyle w:val="Strong"/>
        </w:rPr>
        <w:t>Fintech Collaboration</w:t>
      </w:r>
      <w:r>
        <w:t>: Many traditional banks are partnering with fintech companies to offer innovative financial solutions.</w:t>
      </w:r>
    </w:p>
    <w:p w14:paraId="6029C3E7" w14:textId="2DBF5EC4" w:rsidR="001D46B5" w:rsidRDefault="001D46B5" w:rsidP="00177100">
      <w:pPr>
        <w:numPr>
          <w:ilvl w:val="0"/>
          <w:numId w:val="4"/>
        </w:numPr>
        <w:spacing w:before="100" w:beforeAutospacing="1" w:after="100" w:afterAutospacing="1" w:line="240" w:lineRule="auto"/>
      </w:pPr>
      <w:r>
        <w:rPr>
          <w:rStyle w:val="Strong"/>
        </w:rPr>
        <w:lastRenderedPageBreak/>
        <w:t>Sustainability</w:t>
      </w:r>
      <w:r>
        <w:t>: Banks are increasingly incorporating sustainability into their operations, offering green loans and sustainable investment options.</w:t>
      </w:r>
    </w:p>
    <w:p w14:paraId="3D4D6DC7" w14:textId="77777777" w:rsidR="001D46B5" w:rsidRDefault="001D46B5" w:rsidP="001D46B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1D46B5">
        <w:rPr>
          <w:rFonts w:ascii="Times New Roman" w:eastAsia="Times New Roman" w:hAnsi="Times New Roman" w:cs="Times New Roman"/>
          <w:b/>
          <w:bCs/>
          <w:sz w:val="27"/>
          <w:szCs w:val="27"/>
          <w:lang w:eastAsia="en-IN"/>
        </w:rPr>
        <w:t>Retail Banking Operations Numerical Data</w:t>
      </w:r>
    </w:p>
    <w:tbl>
      <w:tblPr>
        <w:tblStyle w:val="TableGrid"/>
        <w:tblW w:w="0" w:type="auto"/>
        <w:tblLook w:val="04A0" w:firstRow="1" w:lastRow="0" w:firstColumn="1" w:lastColumn="0" w:noHBand="0" w:noVBand="1"/>
      </w:tblPr>
      <w:tblGrid>
        <w:gridCol w:w="4508"/>
        <w:gridCol w:w="4508"/>
      </w:tblGrid>
      <w:tr w:rsidR="0061269D" w14:paraId="45870956" w14:textId="77777777" w:rsidTr="0061269D">
        <w:tc>
          <w:tcPr>
            <w:tcW w:w="4508" w:type="dxa"/>
          </w:tcPr>
          <w:p w14:paraId="5E79449B" w14:textId="77777777" w:rsidR="0061269D" w:rsidRDefault="0061269D" w:rsidP="001D46B5">
            <w:pPr>
              <w:spacing w:before="100" w:beforeAutospacing="1" w:after="100" w:afterAutospacing="1"/>
              <w:outlineLvl w:val="2"/>
              <w:rPr>
                <w:rFonts w:ascii="Times New Roman" w:eastAsia="Times New Roman" w:hAnsi="Times New Roman" w:cs="Times New Roman"/>
                <w:b/>
                <w:bCs/>
                <w:sz w:val="27"/>
                <w:szCs w:val="27"/>
                <w:lang w:eastAsia="en-IN"/>
              </w:rPr>
            </w:pPr>
            <w:r w:rsidRPr="001D46B5">
              <w:rPr>
                <w:rFonts w:ascii="Times New Roman" w:eastAsia="Times New Roman" w:hAnsi="Times New Roman" w:cs="Times New Roman"/>
                <w:b/>
                <w:bCs/>
                <w:sz w:val="24"/>
                <w:szCs w:val="24"/>
                <w:lang w:eastAsia="en-IN"/>
              </w:rPr>
              <w:t>Category</w:t>
            </w:r>
          </w:p>
        </w:tc>
        <w:tc>
          <w:tcPr>
            <w:tcW w:w="4508" w:type="dxa"/>
          </w:tcPr>
          <w:p w14:paraId="6D49DBED" w14:textId="77777777" w:rsidR="0061269D" w:rsidRDefault="0061269D" w:rsidP="001D46B5">
            <w:pPr>
              <w:spacing w:before="100" w:beforeAutospacing="1" w:after="100" w:afterAutospacing="1"/>
              <w:outlineLvl w:val="2"/>
              <w:rPr>
                <w:rFonts w:ascii="Times New Roman" w:eastAsia="Times New Roman" w:hAnsi="Times New Roman" w:cs="Times New Roman"/>
                <w:b/>
                <w:bCs/>
                <w:sz w:val="27"/>
                <w:szCs w:val="27"/>
                <w:lang w:eastAsia="en-IN"/>
              </w:rPr>
            </w:pPr>
            <w:r w:rsidRPr="001D46B5">
              <w:rPr>
                <w:rFonts w:ascii="Times New Roman" w:eastAsia="Times New Roman" w:hAnsi="Times New Roman" w:cs="Times New Roman"/>
                <w:b/>
                <w:bCs/>
                <w:sz w:val="24"/>
                <w:szCs w:val="24"/>
                <w:lang w:eastAsia="en-IN"/>
              </w:rPr>
              <w:t>Data</w:t>
            </w:r>
          </w:p>
        </w:tc>
      </w:tr>
      <w:tr w:rsidR="0061269D" w14:paraId="6342ECEA" w14:textId="77777777" w:rsidTr="00BD5E62">
        <w:tc>
          <w:tcPr>
            <w:tcW w:w="4508" w:type="dxa"/>
            <w:vAlign w:val="center"/>
          </w:tcPr>
          <w:p w14:paraId="687DF3FE" w14:textId="77777777" w:rsidR="0061269D" w:rsidRPr="001D46B5" w:rsidRDefault="0061269D" w:rsidP="0061269D">
            <w:pPr>
              <w:rPr>
                <w:rFonts w:ascii="Times New Roman" w:eastAsia="Times New Roman" w:hAnsi="Times New Roman" w:cs="Times New Roman"/>
                <w:sz w:val="24"/>
                <w:szCs w:val="24"/>
                <w:lang w:eastAsia="en-IN"/>
              </w:rPr>
            </w:pPr>
            <w:r w:rsidRPr="001D46B5">
              <w:rPr>
                <w:rFonts w:ascii="Times New Roman" w:eastAsia="Times New Roman" w:hAnsi="Times New Roman" w:cs="Times New Roman"/>
                <w:sz w:val="24"/>
                <w:szCs w:val="24"/>
                <w:lang w:eastAsia="en-IN"/>
              </w:rPr>
              <w:t>Number of Retail Banks in the U.S.</w:t>
            </w:r>
          </w:p>
        </w:tc>
        <w:tc>
          <w:tcPr>
            <w:tcW w:w="4508" w:type="dxa"/>
            <w:vAlign w:val="center"/>
          </w:tcPr>
          <w:p w14:paraId="4306499D" w14:textId="77777777" w:rsidR="0061269D" w:rsidRPr="001D46B5" w:rsidRDefault="0061269D" w:rsidP="0061269D">
            <w:pPr>
              <w:rPr>
                <w:rFonts w:ascii="Times New Roman" w:eastAsia="Times New Roman" w:hAnsi="Times New Roman" w:cs="Times New Roman"/>
                <w:sz w:val="24"/>
                <w:szCs w:val="24"/>
                <w:lang w:eastAsia="en-IN"/>
              </w:rPr>
            </w:pPr>
            <w:r w:rsidRPr="001D46B5">
              <w:rPr>
                <w:rFonts w:ascii="Times New Roman" w:eastAsia="Times New Roman" w:hAnsi="Times New Roman" w:cs="Times New Roman"/>
                <w:sz w:val="24"/>
                <w:szCs w:val="24"/>
                <w:lang w:eastAsia="en-IN"/>
              </w:rPr>
              <w:t>4,300 (approximate)</w:t>
            </w:r>
          </w:p>
        </w:tc>
      </w:tr>
      <w:tr w:rsidR="0061269D" w14:paraId="37B82C09" w14:textId="77777777" w:rsidTr="00BD5E62">
        <w:tc>
          <w:tcPr>
            <w:tcW w:w="4508" w:type="dxa"/>
            <w:vAlign w:val="center"/>
          </w:tcPr>
          <w:p w14:paraId="1987C7E5" w14:textId="77777777" w:rsidR="0061269D" w:rsidRPr="001D46B5" w:rsidRDefault="0061269D" w:rsidP="0061269D">
            <w:pPr>
              <w:rPr>
                <w:rFonts w:ascii="Times New Roman" w:eastAsia="Times New Roman" w:hAnsi="Times New Roman" w:cs="Times New Roman"/>
                <w:sz w:val="24"/>
                <w:szCs w:val="24"/>
                <w:lang w:eastAsia="en-IN"/>
              </w:rPr>
            </w:pPr>
            <w:r w:rsidRPr="001D46B5">
              <w:rPr>
                <w:rFonts w:ascii="Times New Roman" w:eastAsia="Times New Roman" w:hAnsi="Times New Roman" w:cs="Times New Roman"/>
                <w:sz w:val="24"/>
                <w:szCs w:val="24"/>
                <w:lang w:eastAsia="en-IN"/>
              </w:rPr>
              <w:t>Total Retail Bank Branches in the U.S. (2023)</w:t>
            </w:r>
          </w:p>
        </w:tc>
        <w:tc>
          <w:tcPr>
            <w:tcW w:w="4508" w:type="dxa"/>
            <w:vAlign w:val="center"/>
          </w:tcPr>
          <w:p w14:paraId="090C4B7A" w14:textId="77777777" w:rsidR="0061269D" w:rsidRPr="001D46B5" w:rsidRDefault="0061269D" w:rsidP="0061269D">
            <w:pPr>
              <w:rPr>
                <w:rFonts w:ascii="Times New Roman" w:eastAsia="Times New Roman" w:hAnsi="Times New Roman" w:cs="Times New Roman"/>
                <w:sz w:val="24"/>
                <w:szCs w:val="24"/>
                <w:lang w:eastAsia="en-IN"/>
              </w:rPr>
            </w:pPr>
            <w:r w:rsidRPr="001D46B5">
              <w:rPr>
                <w:rFonts w:ascii="Times New Roman" w:eastAsia="Times New Roman" w:hAnsi="Times New Roman" w:cs="Times New Roman"/>
                <w:sz w:val="24"/>
                <w:szCs w:val="24"/>
                <w:lang w:eastAsia="en-IN"/>
              </w:rPr>
              <w:t>81,000</w:t>
            </w:r>
          </w:p>
        </w:tc>
      </w:tr>
      <w:tr w:rsidR="0061269D" w14:paraId="572009A3" w14:textId="77777777" w:rsidTr="00BD5E62">
        <w:tc>
          <w:tcPr>
            <w:tcW w:w="4508" w:type="dxa"/>
            <w:vAlign w:val="center"/>
          </w:tcPr>
          <w:p w14:paraId="2F7E2F42" w14:textId="77777777" w:rsidR="0061269D" w:rsidRPr="001D46B5" w:rsidRDefault="0061269D" w:rsidP="0061269D">
            <w:pPr>
              <w:rPr>
                <w:rFonts w:ascii="Times New Roman" w:eastAsia="Times New Roman" w:hAnsi="Times New Roman" w:cs="Times New Roman"/>
                <w:sz w:val="24"/>
                <w:szCs w:val="24"/>
                <w:lang w:eastAsia="en-IN"/>
              </w:rPr>
            </w:pPr>
            <w:r w:rsidRPr="001D46B5">
              <w:rPr>
                <w:rFonts w:ascii="Times New Roman" w:eastAsia="Times New Roman" w:hAnsi="Times New Roman" w:cs="Times New Roman"/>
                <w:sz w:val="24"/>
                <w:szCs w:val="24"/>
                <w:lang w:eastAsia="en-IN"/>
              </w:rPr>
              <w:t>Average Savings Account Interest Rate (2023)</w:t>
            </w:r>
          </w:p>
        </w:tc>
        <w:tc>
          <w:tcPr>
            <w:tcW w:w="4508" w:type="dxa"/>
            <w:vAlign w:val="center"/>
          </w:tcPr>
          <w:p w14:paraId="16E7D697" w14:textId="77777777" w:rsidR="0061269D" w:rsidRPr="001D46B5" w:rsidRDefault="0061269D" w:rsidP="0061269D">
            <w:pPr>
              <w:rPr>
                <w:rFonts w:ascii="Times New Roman" w:eastAsia="Times New Roman" w:hAnsi="Times New Roman" w:cs="Times New Roman"/>
                <w:sz w:val="24"/>
                <w:szCs w:val="24"/>
                <w:lang w:eastAsia="en-IN"/>
              </w:rPr>
            </w:pPr>
            <w:r w:rsidRPr="001D46B5">
              <w:rPr>
                <w:rFonts w:ascii="Times New Roman" w:eastAsia="Times New Roman" w:hAnsi="Times New Roman" w:cs="Times New Roman"/>
                <w:sz w:val="24"/>
                <w:szCs w:val="24"/>
                <w:lang w:eastAsia="en-IN"/>
              </w:rPr>
              <w:t>0.30%</w:t>
            </w:r>
          </w:p>
        </w:tc>
      </w:tr>
      <w:tr w:rsidR="0061269D" w14:paraId="319AA7BE" w14:textId="77777777" w:rsidTr="00BD5E62">
        <w:tc>
          <w:tcPr>
            <w:tcW w:w="4508" w:type="dxa"/>
            <w:vAlign w:val="center"/>
          </w:tcPr>
          <w:p w14:paraId="031EA78E" w14:textId="77777777" w:rsidR="0061269D" w:rsidRPr="001D46B5" w:rsidRDefault="0061269D" w:rsidP="0061269D">
            <w:pPr>
              <w:rPr>
                <w:rFonts w:ascii="Times New Roman" w:eastAsia="Times New Roman" w:hAnsi="Times New Roman" w:cs="Times New Roman"/>
                <w:sz w:val="24"/>
                <w:szCs w:val="24"/>
                <w:lang w:eastAsia="en-IN"/>
              </w:rPr>
            </w:pPr>
            <w:r w:rsidRPr="001D46B5">
              <w:rPr>
                <w:rFonts w:ascii="Times New Roman" w:eastAsia="Times New Roman" w:hAnsi="Times New Roman" w:cs="Times New Roman"/>
                <w:sz w:val="24"/>
                <w:szCs w:val="24"/>
                <w:lang w:eastAsia="en-IN"/>
              </w:rPr>
              <w:t>Average Mortgage Loan Interest Rate (30-year fixed, 2023)</w:t>
            </w:r>
          </w:p>
        </w:tc>
        <w:tc>
          <w:tcPr>
            <w:tcW w:w="4508" w:type="dxa"/>
            <w:vAlign w:val="center"/>
          </w:tcPr>
          <w:p w14:paraId="4A0EB74B" w14:textId="77777777" w:rsidR="0061269D" w:rsidRPr="001D46B5" w:rsidRDefault="0061269D" w:rsidP="0061269D">
            <w:pPr>
              <w:rPr>
                <w:rFonts w:ascii="Times New Roman" w:eastAsia="Times New Roman" w:hAnsi="Times New Roman" w:cs="Times New Roman"/>
                <w:sz w:val="24"/>
                <w:szCs w:val="24"/>
                <w:lang w:eastAsia="en-IN"/>
              </w:rPr>
            </w:pPr>
            <w:r w:rsidRPr="001D46B5">
              <w:rPr>
                <w:rFonts w:ascii="Times New Roman" w:eastAsia="Times New Roman" w:hAnsi="Times New Roman" w:cs="Times New Roman"/>
                <w:sz w:val="24"/>
                <w:szCs w:val="24"/>
                <w:lang w:eastAsia="en-IN"/>
              </w:rPr>
              <w:t>6.50%</w:t>
            </w:r>
          </w:p>
        </w:tc>
      </w:tr>
      <w:tr w:rsidR="0061269D" w14:paraId="780CCD0F" w14:textId="77777777" w:rsidTr="00BD5E62">
        <w:tc>
          <w:tcPr>
            <w:tcW w:w="4508" w:type="dxa"/>
            <w:vAlign w:val="center"/>
          </w:tcPr>
          <w:p w14:paraId="1521F94B" w14:textId="77777777" w:rsidR="0061269D" w:rsidRPr="001D46B5" w:rsidRDefault="0061269D" w:rsidP="0061269D">
            <w:pPr>
              <w:rPr>
                <w:rFonts w:ascii="Times New Roman" w:eastAsia="Times New Roman" w:hAnsi="Times New Roman" w:cs="Times New Roman"/>
                <w:sz w:val="24"/>
                <w:szCs w:val="24"/>
                <w:lang w:eastAsia="en-IN"/>
              </w:rPr>
            </w:pPr>
            <w:r w:rsidRPr="001D46B5">
              <w:rPr>
                <w:rFonts w:ascii="Times New Roman" w:eastAsia="Times New Roman" w:hAnsi="Times New Roman" w:cs="Times New Roman"/>
                <w:sz w:val="24"/>
                <w:szCs w:val="24"/>
                <w:lang w:eastAsia="en-IN"/>
              </w:rPr>
              <w:t>Total Consumer Deposits (2023)</w:t>
            </w:r>
          </w:p>
        </w:tc>
        <w:tc>
          <w:tcPr>
            <w:tcW w:w="4508" w:type="dxa"/>
            <w:vAlign w:val="center"/>
          </w:tcPr>
          <w:p w14:paraId="536580D8" w14:textId="77777777" w:rsidR="0061269D" w:rsidRPr="001D46B5" w:rsidRDefault="0061269D" w:rsidP="0061269D">
            <w:pPr>
              <w:rPr>
                <w:rFonts w:ascii="Times New Roman" w:eastAsia="Times New Roman" w:hAnsi="Times New Roman" w:cs="Times New Roman"/>
                <w:sz w:val="24"/>
                <w:szCs w:val="24"/>
                <w:lang w:eastAsia="en-IN"/>
              </w:rPr>
            </w:pPr>
            <w:r w:rsidRPr="001D46B5">
              <w:rPr>
                <w:rFonts w:ascii="Times New Roman" w:eastAsia="Times New Roman" w:hAnsi="Times New Roman" w:cs="Times New Roman"/>
                <w:sz w:val="24"/>
                <w:szCs w:val="24"/>
                <w:lang w:eastAsia="en-IN"/>
              </w:rPr>
              <w:t>$16 trillion</w:t>
            </w:r>
          </w:p>
        </w:tc>
      </w:tr>
      <w:tr w:rsidR="0061269D" w14:paraId="4D1D352E" w14:textId="77777777" w:rsidTr="00BD5E62">
        <w:tc>
          <w:tcPr>
            <w:tcW w:w="4508" w:type="dxa"/>
            <w:vAlign w:val="center"/>
          </w:tcPr>
          <w:p w14:paraId="1E23BC8D" w14:textId="77777777" w:rsidR="0061269D" w:rsidRPr="001D46B5" w:rsidRDefault="0061269D" w:rsidP="0061269D">
            <w:pPr>
              <w:rPr>
                <w:rFonts w:ascii="Times New Roman" w:eastAsia="Times New Roman" w:hAnsi="Times New Roman" w:cs="Times New Roman"/>
                <w:sz w:val="24"/>
                <w:szCs w:val="24"/>
                <w:lang w:eastAsia="en-IN"/>
              </w:rPr>
            </w:pPr>
            <w:r w:rsidRPr="001D46B5">
              <w:rPr>
                <w:rFonts w:ascii="Times New Roman" w:eastAsia="Times New Roman" w:hAnsi="Times New Roman" w:cs="Times New Roman"/>
                <w:sz w:val="24"/>
                <w:szCs w:val="24"/>
                <w:lang w:eastAsia="en-IN"/>
              </w:rPr>
              <w:t>Total Retail Loans Outstanding (2023)</w:t>
            </w:r>
          </w:p>
        </w:tc>
        <w:tc>
          <w:tcPr>
            <w:tcW w:w="4508" w:type="dxa"/>
            <w:vAlign w:val="center"/>
          </w:tcPr>
          <w:p w14:paraId="5C0529B0" w14:textId="77777777" w:rsidR="0061269D" w:rsidRPr="001D46B5" w:rsidRDefault="0061269D" w:rsidP="0061269D">
            <w:pPr>
              <w:rPr>
                <w:rFonts w:ascii="Times New Roman" w:eastAsia="Times New Roman" w:hAnsi="Times New Roman" w:cs="Times New Roman"/>
                <w:sz w:val="24"/>
                <w:szCs w:val="24"/>
                <w:lang w:eastAsia="en-IN"/>
              </w:rPr>
            </w:pPr>
            <w:r w:rsidRPr="001D46B5">
              <w:rPr>
                <w:rFonts w:ascii="Times New Roman" w:eastAsia="Times New Roman" w:hAnsi="Times New Roman" w:cs="Times New Roman"/>
                <w:sz w:val="24"/>
                <w:szCs w:val="24"/>
                <w:lang w:eastAsia="en-IN"/>
              </w:rPr>
              <w:t>$11 trillion</w:t>
            </w:r>
          </w:p>
        </w:tc>
      </w:tr>
      <w:tr w:rsidR="0061269D" w14:paraId="23F0FA1E" w14:textId="77777777" w:rsidTr="00BD5E62">
        <w:tc>
          <w:tcPr>
            <w:tcW w:w="4508" w:type="dxa"/>
            <w:vAlign w:val="center"/>
          </w:tcPr>
          <w:p w14:paraId="748E034B" w14:textId="77777777" w:rsidR="0061269D" w:rsidRPr="001D46B5" w:rsidRDefault="0061269D" w:rsidP="0061269D">
            <w:pPr>
              <w:rPr>
                <w:rFonts w:ascii="Times New Roman" w:eastAsia="Times New Roman" w:hAnsi="Times New Roman" w:cs="Times New Roman"/>
                <w:sz w:val="24"/>
                <w:szCs w:val="24"/>
                <w:lang w:eastAsia="en-IN"/>
              </w:rPr>
            </w:pPr>
            <w:r w:rsidRPr="001D46B5">
              <w:rPr>
                <w:rFonts w:ascii="Times New Roman" w:eastAsia="Times New Roman" w:hAnsi="Times New Roman" w:cs="Times New Roman"/>
                <w:sz w:val="24"/>
                <w:szCs w:val="24"/>
                <w:lang w:eastAsia="en-IN"/>
              </w:rPr>
              <w:t>Average Number of Bank Accounts per Household (2023)</w:t>
            </w:r>
          </w:p>
        </w:tc>
        <w:tc>
          <w:tcPr>
            <w:tcW w:w="4508" w:type="dxa"/>
            <w:vAlign w:val="center"/>
          </w:tcPr>
          <w:p w14:paraId="07214F6F" w14:textId="77777777" w:rsidR="0061269D" w:rsidRPr="001D46B5" w:rsidRDefault="0061269D" w:rsidP="0061269D">
            <w:pPr>
              <w:rPr>
                <w:rFonts w:ascii="Times New Roman" w:eastAsia="Times New Roman" w:hAnsi="Times New Roman" w:cs="Times New Roman"/>
                <w:sz w:val="24"/>
                <w:szCs w:val="24"/>
                <w:lang w:eastAsia="en-IN"/>
              </w:rPr>
            </w:pPr>
            <w:r w:rsidRPr="001D46B5">
              <w:rPr>
                <w:rFonts w:ascii="Times New Roman" w:eastAsia="Times New Roman" w:hAnsi="Times New Roman" w:cs="Times New Roman"/>
                <w:sz w:val="24"/>
                <w:szCs w:val="24"/>
                <w:lang w:eastAsia="en-IN"/>
              </w:rPr>
              <w:t>2.5</w:t>
            </w:r>
          </w:p>
        </w:tc>
      </w:tr>
      <w:tr w:rsidR="0061269D" w14:paraId="2F4C27F0" w14:textId="77777777" w:rsidTr="00BD5E62">
        <w:tc>
          <w:tcPr>
            <w:tcW w:w="4508" w:type="dxa"/>
            <w:vAlign w:val="center"/>
          </w:tcPr>
          <w:p w14:paraId="6EB80B7D" w14:textId="77777777" w:rsidR="0061269D" w:rsidRPr="001D46B5" w:rsidRDefault="0061269D" w:rsidP="0061269D">
            <w:pPr>
              <w:rPr>
                <w:rFonts w:ascii="Times New Roman" w:eastAsia="Times New Roman" w:hAnsi="Times New Roman" w:cs="Times New Roman"/>
                <w:sz w:val="24"/>
                <w:szCs w:val="24"/>
                <w:lang w:eastAsia="en-IN"/>
              </w:rPr>
            </w:pPr>
            <w:r w:rsidRPr="001D46B5">
              <w:rPr>
                <w:rFonts w:ascii="Times New Roman" w:eastAsia="Times New Roman" w:hAnsi="Times New Roman" w:cs="Times New Roman"/>
                <w:sz w:val="24"/>
                <w:szCs w:val="24"/>
                <w:lang w:eastAsia="en-IN"/>
              </w:rPr>
              <w:t>Percentage of Bank Customers Using Online Banking (2023)</w:t>
            </w:r>
          </w:p>
        </w:tc>
        <w:tc>
          <w:tcPr>
            <w:tcW w:w="4508" w:type="dxa"/>
            <w:vAlign w:val="center"/>
          </w:tcPr>
          <w:p w14:paraId="259DBC43" w14:textId="77777777" w:rsidR="0061269D" w:rsidRPr="001D46B5" w:rsidRDefault="0061269D" w:rsidP="0061269D">
            <w:pPr>
              <w:rPr>
                <w:rFonts w:ascii="Times New Roman" w:eastAsia="Times New Roman" w:hAnsi="Times New Roman" w:cs="Times New Roman"/>
                <w:sz w:val="24"/>
                <w:szCs w:val="24"/>
                <w:lang w:eastAsia="en-IN"/>
              </w:rPr>
            </w:pPr>
            <w:r w:rsidRPr="001D46B5">
              <w:rPr>
                <w:rFonts w:ascii="Times New Roman" w:eastAsia="Times New Roman" w:hAnsi="Times New Roman" w:cs="Times New Roman"/>
                <w:sz w:val="24"/>
                <w:szCs w:val="24"/>
                <w:lang w:eastAsia="en-IN"/>
              </w:rPr>
              <w:t>70%</w:t>
            </w:r>
          </w:p>
        </w:tc>
      </w:tr>
      <w:tr w:rsidR="0061269D" w14:paraId="3B6DA632" w14:textId="77777777" w:rsidTr="00BD5E62">
        <w:tc>
          <w:tcPr>
            <w:tcW w:w="4508" w:type="dxa"/>
            <w:vAlign w:val="center"/>
          </w:tcPr>
          <w:p w14:paraId="17A4F49D" w14:textId="77777777" w:rsidR="0061269D" w:rsidRPr="001D46B5" w:rsidRDefault="0061269D" w:rsidP="0061269D">
            <w:pPr>
              <w:rPr>
                <w:rFonts w:ascii="Times New Roman" w:eastAsia="Times New Roman" w:hAnsi="Times New Roman" w:cs="Times New Roman"/>
                <w:sz w:val="24"/>
                <w:szCs w:val="24"/>
                <w:lang w:eastAsia="en-IN"/>
              </w:rPr>
            </w:pPr>
            <w:r w:rsidRPr="001D46B5">
              <w:rPr>
                <w:rFonts w:ascii="Times New Roman" w:eastAsia="Times New Roman" w:hAnsi="Times New Roman" w:cs="Times New Roman"/>
                <w:sz w:val="24"/>
                <w:szCs w:val="24"/>
                <w:lang w:eastAsia="en-IN"/>
              </w:rPr>
              <w:t>Percentage of Bank Customers Using Mobile Banking (2023)</w:t>
            </w:r>
          </w:p>
        </w:tc>
        <w:tc>
          <w:tcPr>
            <w:tcW w:w="4508" w:type="dxa"/>
            <w:vAlign w:val="center"/>
          </w:tcPr>
          <w:p w14:paraId="2E48D705" w14:textId="77777777" w:rsidR="0061269D" w:rsidRPr="001D46B5" w:rsidRDefault="0061269D" w:rsidP="0061269D">
            <w:pPr>
              <w:rPr>
                <w:rFonts w:ascii="Times New Roman" w:eastAsia="Times New Roman" w:hAnsi="Times New Roman" w:cs="Times New Roman"/>
                <w:sz w:val="24"/>
                <w:szCs w:val="24"/>
                <w:lang w:eastAsia="en-IN"/>
              </w:rPr>
            </w:pPr>
            <w:r w:rsidRPr="001D46B5">
              <w:rPr>
                <w:rFonts w:ascii="Times New Roman" w:eastAsia="Times New Roman" w:hAnsi="Times New Roman" w:cs="Times New Roman"/>
                <w:sz w:val="24"/>
                <w:szCs w:val="24"/>
                <w:lang w:eastAsia="en-IN"/>
              </w:rPr>
              <w:t>60%</w:t>
            </w:r>
          </w:p>
        </w:tc>
      </w:tr>
    </w:tbl>
    <w:p w14:paraId="6B9997E1" w14:textId="4646C675" w:rsidR="001D46B5" w:rsidRPr="00177100" w:rsidRDefault="001D46B5" w:rsidP="0017710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1D46B5">
        <w:rPr>
          <w:rFonts w:ascii="Times New Roman" w:eastAsia="Times New Roman" w:hAnsi="Times New Roman" w:cs="Times New Roman"/>
          <w:b/>
          <w:bCs/>
          <w:sz w:val="24"/>
          <w:szCs w:val="24"/>
          <w:lang w:eastAsia="en-IN"/>
        </w:rPr>
        <w:t xml:space="preserve"> Number of Retail Banks in the U.S.</w:t>
      </w:r>
    </w:p>
    <w:tbl>
      <w:tblPr>
        <w:tblStyle w:val="TableGrid"/>
        <w:tblW w:w="0" w:type="auto"/>
        <w:tblLook w:val="04A0" w:firstRow="1" w:lastRow="0" w:firstColumn="1" w:lastColumn="0" w:noHBand="0" w:noVBand="1"/>
      </w:tblPr>
      <w:tblGrid>
        <w:gridCol w:w="4508"/>
        <w:gridCol w:w="4508"/>
      </w:tblGrid>
      <w:tr w:rsidR="0061269D" w14:paraId="4FB2038A" w14:textId="77777777" w:rsidTr="003970FF">
        <w:tc>
          <w:tcPr>
            <w:tcW w:w="4508" w:type="dxa"/>
          </w:tcPr>
          <w:p w14:paraId="7E648BBE" w14:textId="77777777" w:rsidR="0061269D" w:rsidRDefault="0061269D" w:rsidP="0061269D">
            <w:pPr>
              <w:spacing w:before="100" w:beforeAutospacing="1" w:after="100" w:afterAutospacing="1"/>
              <w:outlineLvl w:val="3"/>
              <w:rPr>
                <w:rFonts w:ascii="Times New Roman" w:eastAsia="Times New Roman" w:hAnsi="Times New Roman" w:cs="Times New Roman"/>
                <w:b/>
                <w:bCs/>
                <w:sz w:val="24"/>
                <w:szCs w:val="24"/>
                <w:lang w:eastAsia="en-IN"/>
              </w:rPr>
            </w:pPr>
            <w:r w:rsidRPr="001D46B5">
              <w:rPr>
                <w:rFonts w:ascii="Times New Roman" w:eastAsia="Times New Roman" w:hAnsi="Times New Roman" w:cs="Times New Roman"/>
                <w:b/>
                <w:bCs/>
                <w:sz w:val="24"/>
                <w:szCs w:val="24"/>
                <w:lang w:eastAsia="en-IN"/>
              </w:rPr>
              <w:t>Year</w:t>
            </w:r>
          </w:p>
        </w:tc>
        <w:tc>
          <w:tcPr>
            <w:tcW w:w="4508" w:type="dxa"/>
            <w:vAlign w:val="center"/>
          </w:tcPr>
          <w:p w14:paraId="725205B6" w14:textId="77777777" w:rsidR="0061269D" w:rsidRPr="001D46B5" w:rsidRDefault="0061269D" w:rsidP="0061269D">
            <w:pPr>
              <w:jc w:val="center"/>
              <w:rPr>
                <w:rFonts w:ascii="Times New Roman" w:eastAsia="Times New Roman" w:hAnsi="Times New Roman" w:cs="Times New Roman"/>
                <w:b/>
                <w:bCs/>
                <w:sz w:val="24"/>
                <w:szCs w:val="24"/>
                <w:lang w:eastAsia="en-IN"/>
              </w:rPr>
            </w:pPr>
            <w:r w:rsidRPr="001D46B5">
              <w:rPr>
                <w:rFonts w:ascii="Times New Roman" w:eastAsia="Times New Roman" w:hAnsi="Times New Roman" w:cs="Times New Roman"/>
                <w:b/>
                <w:bCs/>
                <w:sz w:val="24"/>
                <w:szCs w:val="24"/>
                <w:lang w:eastAsia="en-IN"/>
              </w:rPr>
              <w:t>Number of Banks</w:t>
            </w:r>
          </w:p>
        </w:tc>
      </w:tr>
      <w:tr w:rsidR="0061269D" w14:paraId="1F0974B7" w14:textId="77777777" w:rsidTr="002D6A2E">
        <w:tc>
          <w:tcPr>
            <w:tcW w:w="4508" w:type="dxa"/>
            <w:vAlign w:val="center"/>
          </w:tcPr>
          <w:p w14:paraId="7B3E98AD" w14:textId="77777777" w:rsidR="0061269D" w:rsidRPr="001D46B5" w:rsidRDefault="0061269D" w:rsidP="0061269D">
            <w:pPr>
              <w:rPr>
                <w:rFonts w:ascii="Times New Roman" w:eastAsia="Times New Roman" w:hAnsi="Times New Roman" w:cs="Times New Roman"/>
                <w:sz w:val="24"/>
                <w:szCs w:val="24"/>
                <w:lang w:eastAsia="en-IN"/>
              </w:rPr>
            </w:pPr>
            <w:r w:rsidRPr="001D46B5">
              <w:rPr>
                <w:rFonts w:ascii="Times New Roman" w:eastAsia="Times New Roman" w:hAnsi="Times New Roman" w:cs="Times New Roman"/>
                <w:sz w:val="24"/>
                <w:szCs w:val="24"/>
                <w:lang w:eastAsia="en-IN"/>
              </w:rPr>
              <w:t>2015</w:t>
            </w:r>
          </w:p>
        </w:tc>
        <w:tc>
          <w:tcPr>
            <w:tcW w:w="4508" w:type="dxa"/>
            <w:vAlign w:val="center"/>
          </w:tcPr>
          <w:p w14:paraId="2B7412FE" w14:textId="77777777" w:rsidR="0061269D" w:rsidRPr="001D46B5" w:rsidRDefault="0061269D" w:rsidP="0061269D">
            <w:pPr>
              <w:rPr>
                <w:rFonts w:ascii="Times New Roman" w:eastAsia="Times New Roman" w:hAnsi="Times New Roman" w:cs="Times New Roman"/>
                <w:sz w:val="24"/>
                <w:szCs w:val="24"/>
                <w:lang w:eastAsia="en-IN"/>
              </w:rPr>
            </w:pPr>
            <w:r w:rsidRPr="001D46B5">
              <w:rPr>
                <w:rFonts w:ascii="Times New Roman" w:eastAsia="Times New Roman" w:hAnsi="Times New Roman" w:cs="Times New Roman"/>
                <w:sz w:val="24"/>
                <w:szCs w:val="24"/>
                <w:lang w:eastAsia="en-IN"/>
              </w:rPr>
              <w:t>5,000</w:t>
            </w:r>
          </w:p>
        </w:tc>
      </w:tr>
      <w:tr w:rsidR="0061269D" w14:paraId="7E5CA9C9" w14:textId="77777777" w:rsidTr="002D6A2E">
        <w:tc>
          <w:tcPr>
            <w:tcW w:w="4508" w:type="dxa"/>
            <w:vAlign w:val="center"/>
          </w:tcPr>
          <w:p w14:paraId="48CF4D2C" w14:textId="77777777" w:rsidR="0061269D" w:rsidRPr="001D46B5" w:rsidRDefault="0061269D" w:rsidP="0061269D">
            <w:pPr>
              <w:rPr>
                <w:rFonts w:ascii="Times New Roman" w:eastAsia="Times New Roman" w:hAnsi="Times New Roman" w:cs="Times New Roman"/>
                <w:sz w:val="24"/>
                <w:szCs w:val="24"/>
                <w:lang w:eastAsia="en-IN"/>
              </w:rPr>
            </w:pPr>
            <w:r w:rsidRPr="001D46B5">
              <w:rPr>
                <w:rFonts w:ascii="Times New Roman" w:eastAsia="Times New Roman" w:hAnsi="Times New Roman" w:cs="Times New Roman"/>
                <w:sz w:val="24"/>
                <w:szCs w:val="24"/>
                <w:lang w:eastAsia="en-IN"/>
              </w:rPr>
              <w:t>2016</w:t>
            </w:r>
          </w:p>
        </w:tc>
        <w:tc>
          <w:tcPr>
            <w:tcW w:w="4508" w:type="dxa"/>
            <w:vAlign w:val="center"/>
          </w:tcPr>
          <w:p w14:paraId="53D06FC5" w14:textId="77777777" w:rsidR="0061269D" w:rsidRPr="001D46B5" w:rsidRDefault="0061269D" w:rsidP="0061269D">
            <w:pPr>
              <w:rPr>
                <w:rFonts w:ascii="Times New Roman" w:eastAsia="Times New Roman" w:hAnsi="Times New Roman" w:cs="Times New Roman"/>
                <w:sz w:val="24"/>
                <w:szCs w:val="24"/>
                <w:lang w:eastAsia="en-IN"/>
              </w:rPr>
            </w:pPr>
            <w:r w:rsidRPr="001D46B5">
              <w:rPr>
                <w:rFonts w:ascii="Times New Roman" w:eastAsia="Times New Roman" w:hAnsi="Times New Roman" w:cs="Times New Roman"/>
                <w:sz w:val="24"/>
                <w:szCs w:val="24"/>
                <w:lang w:eastAsia="en-IN"/>
              </w:rPr>
              <w:t>4,800</w:t>
            </w:r>
          </w:p>
        </w:tc>
      </w:tr>
      <w:tr w:rsidR="0061269D" w14:paraId="29D0D030" w14:textId="77777777" w:rsidTr="002D6A2E">
        <w:tc>
          <w:tcPr>
            <w:tcW w:w="4508" w:type="dxa"/>
            <w:vAlign w:val="center"/>
          </w:tcPr>
          <w:p w14:paraId="43EA8053" w14:textId="77777777" w:rsidR="0061269D" w:rsidRPr="001D46B5" w:rsidRDefault="0061269D" w:rsidP="0061269D">
            <w:pPr>
              <w:rPr>
                <w:rFonts w:ascii="Times New Roman" w:eastAsia="Times New Roman" w:hAnsi="Times New Roman" w:cs="Times New Roman"/>
                <w:sz w:val="24"/>
                <w:szCs w:val="24"/>
                <w:lang w:eastAsia="en-IN"/>
              </w:rPr>
            </w:pPr>
            <w:r w:rsidRPr="001D46B5">
              <w:rPr>
                <w:rFonts w:ascii="Times New Roman" w:eastAsia="Times New Roman" w:hAnsi="Times New Roman" w:cs="Times New Roman"/>
                <w:sz w:val="24"/>
                <w:szCs w:val="24"/>
                <w:lang w:eastAsia="en-IN"/>
              </w:rPr>
              <w:t>2017</w:t>
            </w:r>
          </w:p>
        </w:tc>
        <w:tc>
          <w:tcPr>
            <w:tcW w:w="4508" w:type="dxa"/>
            <w:vAlign w:val="center"/>
          </w:tcPr>
          <w:p w14:paraId="1649D72E" w14:textId="77777777" w:rsidR="0061269D" w:rsidRPr="001D46B5" w:rsidRDefault="0061269D" w:rsidP="0061269D">
            <w:pPr>
              <w:rPr>
                <w:rFonts w:ascii="Times New Roman" w:eastAsia="Times New Roman" w:hAnsi="Times New Roman" w:cs="Times New Roman"/>
                <w:sz w:val="24"/>
                <w:szCs w:val="24"/>
                <w:lang w:eastAsia="en-IN"/>
              </w:rPr>
            </w:pPr>
            <w:r w:rsidRPr="001D46B5">
              <w:rPr>
                <w:rFonts w:ascii="Times New Roman" w:eastAsia="Times New Roman" w:hAnsi="Times New Roman" w:cs="Times New Roman"/>
                <w:sz w:val="24"/>
                <w:szCs w:val="24"/>
                <w:lang w:eastAsia="en-IN"/>
              </w:rPr>
              <w:t>4,600</w:t>
            </w:r>
          </w:p>
        </w:tc>
      </w:tr>
      <w:tr w:rsidR="0061269D" w14:paraId="202B7A03" w14:textId="77777777" w:rsidTr="002D6A2E">
        <w:tc>
          <w:tcPr>
            <w:tcW w:w="4508" w:type="dxa"/>
            <w:vAlign w:val="center"/>
          </w:tcPr>
          <w:p w14:paraId="4ACF780F" w14:textId="77777777" w:rsidR="0061269D" w:rsidRPr="001D46B5" w:rsidRDefault="0061269D" w:rsidP="0061269D">
            <w:pPr>
              <w:rPr>
                <w:rFonts w:ascii="Times New Roman" w:eastAsia="Times New Roman" w:hAnsi="Times New Roman" w:cs="Times New Roman"/>
                <w:sz w:val="24"/>
                <w:szCs w:val="24"/>
                <w:lang w:eastAsia="en-IN"/>
              </w:rPr>
            </w:pPr>
            <w:r w:rsidRPr="001D46B5">
              <w:rPr>
                <w:rFonts w:ascii="Times New Roman" w:eastAsia="Times New Roman" w:hAnsi="Times New Roman" w:cs="Times New Roman"/>
                <w:sz w:val="24"/>
                <w:szCs w:val="24"/>
                <w:lang w:eastAsia="en-IN"/>
              </w:rPr>
              <w:t>2018</w:t>
            </w:r>
          </w:p>
        </w:tc>
        <w:tc>
          <w:tcPr>
            <w:tcW w:w="4508" w:type="dxa"/>
            <w:vAlign w:val="center"/>
          </w:tcPr>
          <w:p w14:paraId="143DC140" w14:textId="77777777" w:rsidR="0061269D" w:rsidRPr="001D46B5" w:rsidRDefault="0061269D" w:rsidP="0061269D">
            <w:pPr>
              <w:rPr>
                <w:rFonts w:ascii="Times New Roman" w:eastAsia="Times New Roman" w:hAnsi="Times New Roman" w:cs="Times New Roman"/>
                <w:sz w:val="24"/>
                <w:szCs w:val="24"/>
                <w:lang w:eastAsia="en-IN"/>
              </w:rPr>
            </w:pPr>
            <w:r w:rsidRPr="001D46B5">
              <w:rPr>
                <w:rFonts w:ascii="Times New Roman" w:eastAsia="Times New Roman" w:hAnsi="Times New Roman" w:cs="Times New Roman"/>
                <w:sz w:val="24"/>
                <w:szCs w:val="24"/>
                <w:lang w:eastAsia="en-IN"/>
              </w:rPr>
              <w:t>4,500</w:t>
            </w:r>
          </w:p>
        </w:tc>
      </w:tr>
      <w:tr w:rsidR="0061269D" w14:paraId="3B1A03B5" w14:textId="77777777" w:rsidTr="002D6A2E">
        <w:tc>
          <w:tcPr>
            <w:tcW w:w="4508" w:type="dxa"/>
            <w:vAlign w:val="center"/>
          </w:tcPr>
          <w:p w14:paraId="3EF47CB0" w14:textId="77777777" w:rsidR="0061269D" w:rsidRPr="001D46B5" w:rsidRDefault="0061269D" w:rsidP="0061269D">
            <w:pPr>
              <w:rPr>
                <w:rFonts w:ascii="Times New Roman" w:eastAsia="Times New Roman" w:hAnsi="Times New Roman" w:cs="Times New Roman"/>
                <w:sz w:val="24"/>
                <w:szCs w:val="24"/>
                <w:lang w:eastAsia="en-IN"/>
              </w:rPr>
            </w:pPr>
            <w:r w:rsidRPr="001D46B5">
              <w:rPr>
                <w:rFonts w:ascii="Times New Roman" w:eastAsia="Times New Roman" w:hAnsi="Times New Roman" w:cs="Times New Roman"/>
                <w:sz w:val="24"/>
                <w:szCs w:val="24"/>
                <w:lang w:eastAsia="en-IN"/>
              </w:rPr>
              <w:t>2019</w:t>
            </w:r>
          </w:p>
        </w:tc>
        <w:tc>
          <w:tcPr>
            <w:tcW w:w="4508" w:type="dxa"/>
            <w:vAlign w:val="center"/>
          </w:tcPr>
          <w:p w14:paraId="44603D3C" w14:textId="77777777" w:rsidR="0061269D" w:rsidRPr="001D46B5" w:rsidRDefault="0061269D" w:rsidP="0061269D">
            <w:pPr>
              <w:rPr>
                <w:rFonts w:ascii="Times New Roman" w:eastAsia="Times New Roman" w:hAnsi="Times New Roman" w:cs="Times New Roman"/>
                <w:sz w:val="24"/>
                <w:szCs w:val="24"/>
                <w:lang w:eastAsia="en-IN"/>
              </w:rPr>
            </w:pPr>
            <w:r w:rsidRPr="001D46B5">
              <w:rPr>
                <w:rFonts w:ascii="Times New Roman" w:eastAsia="Times New Roman" w:hAnsi="Times New Roman" w:cs="Times New Roman"/>
                <w:sz w:val="24"/>
                <w:szCs w:val="24"/>
                <w:lang w:eastAsia="en-IN"/>
              </w:rPr>
              <w:t>4,400</w:t>
            </w:r>
          </w:p>
        </w:tc>
      </w:tr>
      <w:tr w:rsidR="0061269D" w14:paraId="7FC06F3E" w14:textId="77777777" w:rsidTr="002D6A2E">
        <w:tc>
          <w:tcPr>
            <w:tcW w:w="4508" w:type="dxa"/>
            <w:vAlign w:val="center"/>
          </w:tcPr>
          <w:p w14:paraId="700D1995" w14:textId="77777777" w:rsidR="0061269D" w:rsidRPr="001D46B5" w:rsidRDefault="0061269D" w:rsidP="0061269D">
            <w:pPr>
              <w:rPr>
                <w:rFonts w:ascii="Times New Roman" w:eastAsia="Times New Roman" w:hAnsi="Times New Roman" w:cs="Times New Roman"/>
                <w:sz w:val="24"/>
                <w:szCs w:val="24"/>
                <w:lang w:eastAsia="en-IN"/>
              </w:rPr>
            </w:pPr>
            <w:r w:rsidRPr="001D46B5">
              <w:rPr>
                <w:rFonts w:ascii="Times New Roman" w:eastAsia="Times New Roman" w:hAnsi="Times New Roman" w:cs="Times New Roman"/>
                <w:sz w:val="24"/>
                <w:szCs w:val="24"/>
                <w:lang w:eastAsia="en-IN"/>
              </w:rPr>
              <w:t>2020</w:t>
            </w:r>
          </w:p>
        </w:tc>
        <w:tc>
          <w:tcPr>
            <w:tcW w:w="4508" w:type="dxa"/>
            <w:vAlign w:val="center"/>
          </w:tcPr>
          <w:p w14:paraId="419B595F" w14:textId="77777777" w:rsidR="0061269D" w:rsidRPr="001D46B5" w:rsidRDefault="0061269D" w:rsidP="0061269D">
            <w:pPr>
              <w:rPr>
                <w:rFonts w:ascii="Times New Roman" w:eastAsia="Times New Roman" w:hAnsi="Times New Roman" w:cs="Times New Roman"/>
                <w:sz w:val="24"/>
                <w:szCs w:val="24"/>
                <w:lang w:eastAsia="en-IN"/>
              </w:rPr>
            </w:pPr>
            <w:r w:rsidRPr="001D46B5">
              <w:rPr>
                <w:rFonts w:ascii="Times New Roman" w:eastAsia="Times New Roman" w:hAnsi="Times New Roman" w:cs="Times New Roman"/>
                <w:sz w:val="24"/>
                <w:szCs w:val="24"/>
                <w:lang w:eastAsia="en-IN"/>
              </w:rPr>
              <w:t>4,300</w:t>
            </w:r>
          </w:p>
        </w:tc>
      </w:tr>
      <w:tr w:rsidR="0061269D" w14:paraId="0781AEA6" w14:textId="77777777" w:rsidTr="002D6A2E">
        <w:tc>
          <w:tcPr>
            <w:tcW w:w="4508" w:type="dxa"/>
            <w:vAlign w:val="center"/>
          </w:tcPr>
          <w:p w14:paraId="1478A6A5" w14:textId="77777777" w:rsidR="0061269D" w:rsidRPr="001D46B5" w:rsidRDefault="0061269D" w:rsidP="0061269D">
            <w:pPr>
              <w:rPr>
                <w:rFonts w:ascii="Times New Roman" w:eastAsia="Times New Roman" w:hAnsi="Times New Roman" w:cs="Times New Roman"/>
                <w:sz w:val="24"/>
                <w:szCs w:val="24"/>
                <w:lang w:eastAsia="en-IN"/>
              </w:rPr>
            </w:pPr>
            <w:r w:rsidRPr="001D46B5">
              <w:rPr>
                <w:rFonts w:ascii="Times New Roman" w:eastAsia="Times New Roman" w:hAnsi="Times New Roman" w:cs="Times New Roman"/>
                <w:sz w:val="24"/>
                <w:szCs w:val="24"/>
                <w:lang w:eastAsia="en-IN"/>
              </w:rPr>
              <w:t>2021</w:t>
            </w:r>
          </w:p>
        </w:tc>
        <w:tc>
          <w:tcPr>
            <w:tcW w:w="4508" w:type="dxa"/>
            <w:vAlign w:val="center"/>
          </w:tcPr>
          <w:p w14:paraId="739DCB00" w14:textId="77777777" w:rsidR="0061269D" w:rsidRPr="001D46B5" w:rsidRDefault="0061269D" w:rsidP="0061269D">
            <w:pPr>
              <w:rPr>
                <w:rFonts w:ascii="Times New Roman" w:eastAsia="Times New Roman" w:hAnsi="Times New Roman" w:cs="Times New Roman"/>
                <w:sz w:val="24"/>
                <w:szCs w:val="24"/>
                <w:lang w:eastAsia="en-IN"/>
              </w:rPr>
            </w:pPr>
            <w:r w:rsidRPr="001D46B5">
              <w:rPr>
                <w:rFonts w:ascii="Times New Roman" w:eastAsia="Times New Roman" w:hAnsi="Times New Roman" w:cs="Times New Roman"/>
                <w:sz w:val="24"/>
                <w:szCs w:val="24"/>
                <w:lang w:eastAsia="en-IN"/>
              </w:rPr>
              <w:t>4,250</w:t>
            </w:r>
          </w:p>
        </w:tc>
      </w:tr>
      <w:tr w:rsidR="0061269D" w14:paraId="649E2E95" w14:textId="77777777" w:rsidTr="002D6A2E">
        <w:tc>
          <w:tcPr>
            <w:tcW w:w="4508" w:type="dxa"/>
            <w:vAlign w:val="center"/>
          </w:tcPr>
          <w:p w14:paraId="1515BC4C" w14:textId="77777777" w:rsidR="0061269D" w:rsidRPr="001D46B5" w:rsidRDefault="0061269D" w:rsidP="0061269D">
            <w:pPr>
              <w:rPr>
                <w:rFonts w:ascii="Times New Roman" w:eastAsia="Times New Roman" w:hAnsi="Times New Roman" w:cs="Times New Roman"/>
                <w:sz w:val="24"/>
                <w:szCs w:val="24"/>
                <w:lang w:eastAsia="en-IN"/>
              </w:rPr>
            </w:pPr>
            <w:r w:rsidRPr="001D46B5">
              <w:rPr>
                <w:rFonts w:ascii="Times New Roman" w:eastAsia="Times New Roman" w:hAnsi="Times New Roman" w:cs="Times New Roman"/>
                <w:sz w:val="24"/>
                <w:szCs w:val="24"/>
                <w:lang w:eastAsia="en-IN"/>
              </w:rPr>
              <w:t>2022</w:t>
            </w:r>
          </w:p>
        </w:tc>
        <w:tc>
          <w:tcPr>
            <w:tcW w:w="4508" w:type="dxa"/>
            <w:vAlign w:val="center"/>
          </w:tcPr>
          <w:p w14:paraId="7DE5669A" w14:textId="77777777" w:rsidR="0061269D" w:rsidRPr="001D46B5" w:rsidRDefault="0061269D" w:rsidP="0061269D">
            <w:pPr>
              <w:rPr>
                <w:rFonts w:ascii="Times New Roman" w:eastAsia="Times New Roman" w:hAnsi="Times New Roman" w:cs="Times New Roman"/>
                <w:sz w:val="24"/>
                <w:szCs w:val="24"/>
                <w:lang w:eastAsia="en-IN"/>
              </w:rPr>
            </w:pPr>
            <w:r w:rsidRPr="001D46B5">
              <w:rPr>
                <w:rFonts w:ascii="Times New Roman" w:eastAsia="Times New Roman" w:hAnsi="Times New Roman" w:cs="Times New Roman"/>
                <w:sz w:val="24"/>
                <w:szCs w:val="24"/>
                <w:lang w:eastAsia="en-IN"/>
              </w:rPr>
              <w:t>4,200</w:t>
            </w:r>
          </w:p>
        </w:tc>
      </w:tr>
      <w:tr w:rsidR="0061269D" w14:paraId="570601E4" w14:textId="77777777" w:rsidTr="002D6A2E">
        <w:tc>
          <w:tcPr>
            <w:tcW w:w="4508" w:type="dxa"/>
            <w:vAlign w:val="center"/>
          </w:tcPr>
          <w:p w14:paraId="236E0816" w14:textId="77777777" w:rsidR="0061269D" w:rsidRPr="001D46B5" w:rsidRDefault="0061269D" w:rsidP="0061269D">
            <w:pPr>
              <w:rPr>
                <w:rFonts w:ascii="Times New Roman" w:eastAsia="Times New Roman" w:hAnsi="Times New Roman" w:cs="Times New Roman"/>
                <w:sz w:val="24"/>
                <w:szCs w:val="24"/>
                <w:lang w:eastAsia="en-IN"/>
              </w:rPr>
            </w:pPr>
            <w:r w:rsidRPr="001D46B5">
              <w:rPr>
                <w:rFonts w:ascii="Times New Roman" w:eastAsia="Times New Roman" w:hAnsi="Times New Roman" w:cs="Times New Roman"/>
                <w:sz w:val="24"/>
                <w:szCs w:val="24"/>
                <w:lang w:eastAsia="en-IN"/>
              </w:rPr>
              <w:t>2023</w:t>
            </w:r>
          </w:p>
        </w:tc>
        <w:tc>
          <w:tcPr>
            <w:tcW w:w="4508" w:type="dxa"/>
            <w:vAlign w:val="center"/>
          </w:tcPr>
          <w:p w14:paraId="4F38F46E" w14:textId="77777777" w:rsidR="0061269D" w:rsidRPr="001D46B5" w:rsidRDefault="0061269D" w:rsidP="0061269D">
            <w:pPr>
              <w:rPr>
                <w:rFonts w:ascii="Times New Roman" w:eastAsia="Times New Roman" w:hAnsi="Times New Roman" w:cs="Times New Roman"/>
                <w:sz w:val="24"/>
                <w:szCs w:val="24"/>
                <w:lang w:eastAsia="en-IN"/>
              </w:rPr>
            </w:pPr>
            <w:r w:rsidRPr="001D46B5">
              <w:rPr>
                <w:rFonts w:ascii="Times New Roman" w:eastAsia="Times New Roman" w:hAnsi="Times New Roman" w:cs="Times New Roman"/>
                <w:sz w:val="24"/>
                <w:szCs w:val="24"/>
                <w:lang w:eastAsia="en-IN"/>
              </w:rPr>
              <w:t>4,300</w:t>
            </w:r>
          </w:p>
        </w:tc>
      </w:tr>
    </w:tbl>
    <w:p w14:paraId="6793320C" w14:textId="06D3531F" w:rsidR="00177100" w:rsidRDefault="00177100" w:rsidP="001D46B5">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Pr>
          <w:noProof/>
        </w:rPr>
        <w:drawing>
          <wp:inline distT="0" distB="0" distL="0" distR="0" wp14:anchorId="23822B29" wp14:editId="09E04DCB">
            <wp:extent cx="3642360" cy="2354580"/>
            <wp:effectExtent l="0" t="0" r="15240" b="7620"/>
            <wp:docPr id="4" name="Chart 4">
              <a:extLst xmlns:a="http://schemas.openxmlformats.org/drawingml/2006/main">
                <a:ext uri="{FF2B5EF4-FFF2-40B4-BE49-F238E27FC236}">
                  <a16:creationId xmlns:a16="http://schemas.microsoft.com/office/drawing/2014/main" id="{317C04AF-88D4-461B-AC96-2D956FB29C9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7999B405" w14:textId="63419F90" w:rsidR="001D46B5" w:rsidRDefault="001D46B5" w:rsidP="001D46B5">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1D46B5">
        <w:rPr>
          <w:rFonts w:ascii="Times New Roman" w:eastAsia="Times New Roman" w:hAnsi="Times New Roman" w:cs="Times New Roman"/>
          <w:b/>
          <w:bCs/>
          <w:sz w:val="24"/>
          <w:szCs w:val="24"/>
          <w:lang w:eastAsia="en-IN"/>
        </w:rPr>
        <w:lastRenderedPageBreak/>
        <w:t xml:space="preserve"> Total Retail Bank Branches in the U.S. (2023)</w:t>
      </w:r>
    </w:p>
    <w:tbl>
      <w:tblPr>
        <w:tblStyle w:val="TableGrid"/>
        <w:tblW w:w="0" w:type="auto"/>
        <w:tblLook w:val="04A0" w:firstRow="1" w:lastRow="0" w:firstColumn="1" w:lastColumn="0" w:noHBand="0" w:noVBand="1"/>
      </w:tblPr>
      <w:tblGrid>
        <w:gridCol w:w="4508"/>
        <w:gridCol w:w="4508"/>
      </w:tblGrid>
      <w:tr w:rsidR="0061269D" w14:paraId="32D0FDB0" w14:textId="77777777" w:rsidTr="003B3F63">
        <w:tc>
          <w:tcPr>
            <w:tcW w:w="4508" w:type="dxa"/>
          </w:tcPr>
          <w:p w14:paraId="189C1A81" w14:textId="77777777" w:rsidR="0061269D" w:rsidRDefault="0061269D" w:rsidP="0061269D">
            <w:pPr>
              <w:spacing w:before="100" w:beforeAutospacing="1" w:after="100" w:afterAutospacing="1"/>
              <w:outlineLvl w:val="3"/>
              <w:rPr>
                <w:rFonts w:ascii="Times New Roman" w:eastAsia="Times New Roman" w:hAnsi="Times New Roman" w:cs="Times New Roman"/>
                <w:b/>
                <w:bCs/>
                <w:sz w:val="24"/>
                <w:szCs w:val="24"/>
                <w:lang w:eastAsia="en-IN"/>
              </w:rPr>
            </w:pPr>
            <w:r w:rsidRPr="001D46B5">
              <w:rPr>
                <w:rFonts w:ascii="Times New Roman" w:eastAsia="Times New Roman" w:hAnsi="Times New Roman" w:cs="Times New Roman"/>
                <w:b/>
                <w:bCs/>
                <w:sz w:val="24"/>
                <w:szCs w:val="24"/>
                <w:lang w:eastAsia="en-IN"/>
              </w:rPr>
              <w:t>State</w:t>
            </w:r>
          </w:p>
        </w:tc>
        <w:tc>
          <w:tcPr>
            <w:tcW w:w="4508" w:type="dxa"/>
            <w:vAlign w:val="center"/>
          </w:tcPr>
          <w:p w14:paraId="37B195EA" w14:textId="77777777" w:rsidR="0061269D" w:rsidRPr="001D46B5" w:rsidRDefault="0061269D" w:rsidP="0061269D">
            <w:pPr>
              <w:jc w:val="center"/>
              <w:rPr>
                <w:rFonts w:ascii="Times New Roman" w:eastAsia="Times New Roman" w:hAnsi="Times New Roman" w:cs="Times New Roman"/>
                <w:b/>
                <w:bCs/>
                <w:sz w:val="24"/>
                <w:szCs w:val="24"/>
                <w:lang w:eastAsia="en-IN"/>
              </w:rPr>
            </w:pPr>
            <w:r w:rsidRPr="001D46B5">
              <w:rPr>
                <w:rFonts w:ascii="Times New Roman" w:eastAsia="Times New Roman" w:hAnsi="Times New Roman" w:cs="Times New Roman"/>
                <w:b/>
                <w:bCs/>
                <w:sz w:val="24"/>
                <w:szCs w:val="24"/>
                <w:lang w:eastAsia="en-IN"/>
              </w:rPr>
              <w:t>Number of Branches</w:t>
            </w:r>
          </w:p>
        </w:tc>
      </w:tr>
      <w:tr w:rsidR="0061269D" w14:paraId="2607C884" w14:textId="77777777" w:rsidTr="00C3244B">
        <w:tc>
          <w:tcPr>
            <w:tcW w:w="4508" w:type="dxa"/>
            <w:vAlign w:val="center"/>
          </w:tcPr>
          <w:p w14:paraId="16A10DF3" w14:textId="77777777" w:rsidR="0061269D" w:rsidRPr="001D46B5" w:rsidRDefault="0061269D" w:rsidP="0061269D">
            <w:pPr>
              <w:rPr>
                <w:rFonts w:ascii="Times New Roman" w:eastAsia="Times New Roman" w:hAnsi="Times New Roman" w:cs="Times New Roman"/>
                <w:sz w:val="24"/>
                <w:szCs w:val="24"/>
                <w:lang w:eastAsia="en-IN"/>
              </w:rPr>
            </w:pPr>
            <w:r w:rsidRPr="001D46B5">
              <w:rPr>
                <w:rFonts w:ascii="Times New Roman" w:eastAsia="Times New Roman" w:hAnsi="Times New Roman" w:cs="Times New Roman"/>
                <w:sz w:val="24"/>
                <w:szCs w:val="24"/>
                <w:lang w:eastAsia="en-IN"/>
              </w:rPr>
              <w:t>California</w:t>
            </w:r>
          </w:p>
        </w:tc>
        <w:tc>
          <w:tcPr>
            <w:tcW w:w="4508" w:type="dxa"/>
            <w:vAlign w:val="center"/>
          </w:tcPr>
          <w:p w14:paraId="3BA0E1EB" w14:textId="77777777" w:rsidR="0061269D" w:rsidRPr="001D46B5" w:rsidRDefault="0061269D" w:rsidP="0061269D">
            <w:pPr>
              <w:rPr>
                <w:rFonts w:ascii="Times New Roman" w:eastAsia="Times New Roman" w:hAnsi="Times New Roman" w:cs="Times New Roman"/>
                <w:sz w:val="24"/>
                <w:szCs w:val="24"/>
                <w:lang w:eastAsia="en-IN"/>
              </w:rPr>
            </w:pPr>
            <w:r w:rsidRPr="001D46B5">
              <w:rPr>
                <w:rFonts w:ascii="Times New Roman" w:eastAsia="Times New Roman" w:hAnsi="Times New Roman" w:cs="Times New Roman"/>
                <w:sz w:val="24"/>
                <w:szCs w:val="24"/>
                <w:lang w:eastAsia="en-IN"/>
              </w:rPr>
              <w:t>7,000</w:t>
            </w:r>
          </w:p>
        </w:tc>
      </w:tr>
      <w:tr w:rsidR="0061269D" w14:paraId="3148A33F" w14:textId="77777777" w:rsidTr="00C3244B">
        <w:tc>
          <w:tcPr>
            <w:tcW w:w="4508" w:type="dxa"/>
            <w:vAlign w:val="center"/>
          </w:tcPr>
          <w:p w14:paraId="13A4491F" w14:textId="77777777" w:rsidR="0061269D" w:rsidRPr="001D46B5" w:rsidRDefault="0061269D" w:rsidP="0061269D">
            <w:pPr>
              <w:rPr>
                <w:rFonts w:ascii="Times New Roman" w:eastAsia="Times New Roman" w:hAnsi="Times New Roman" w:cs="Times New Roman"/>
                <w:sz w:val="24"/>
                <w:szCs w:val="24"/>
                <w:lang w:eastAsia="en-IN"/>
              </w:rPr>
            </w:pPr>
            <w:r w:rsidRPr="001D46B5">
              <w:rPr>
                <w:rFonts w:ascii="Times New Roman" w:eastAsia="Times New Roman" w:hAnsi="Times New Roman" w:cs="Times New Roman"/>
                <w:sz w:val="24"/>
                <w:szCs w:val="24"/>
                <w:lang w:eastAsia="en-IN"/>
              </w:rPr>
              <w:t>Texas</w:t>
            </w:r>
          </w:p>
        </w:tc>
        <w:tc>
          <w:tcPr>
            <w:tcW w:w="4508" w:type="dxa"/>
            <w:vAlign w:val="center"/>
          </w:tcPr>
          <w:p w14:paraId="2095E396" w14:textId="77777777" w:rsidR="0061269D" w:rsidRPr="001D46B5" w:rsidRDefault="0061269D" w:rsidP="0061269D">
            <w:pPr>
              <w:rPr>
                <w:rFonts w:ascii="Times New Roman" w:eastAsia="Times New Roman" w:hAnsi="Times New Roman" w:cs="Times New Roman"/>
                <w:sz w:val="24"/>
                <w:szCs w:val="24"/>
                <w:lang w:eastAsia="en-IN"/>
              </w:rPr>
            </w:pPr>
            <w:r w:rsidRPr="001D46B5">
              <w:rPr>
                <w:rFonts w:ascii="Times New Roman" w:eastAsia="Times New Roman" w:hAnsi="Times New Roman" w:cs="Times New Roman"/>
                <w:sz w:val="24"/>
                <w:szCs w:val="24"/>
                <w:lang w:eastAsia="en-IN"/>
              </w:rPr>
              <w:t>6,500</w:t>
            </w:r>
          </w:p>
        </w:tc>
      </w:tr>
      <w:tr w:rsidR="0061269D" w14:paraId="5A06FFC7" w14:textId="77777777" w:rsidTr="00C3244B">
        <w:tc>
          <w:tcPr>
            <w:tcW w:w="4508" w:type="dxa"/>
            <w:vAlign w:val="center"/>
          </w:tcPr>
          <w:p w14:paraId="4AAB72BD" w14:textId="77777777" w:rsidR="0061269D" w:rsidRPr="001D46B5" w:rsidRDefault="0061269D" w:rsidP="0061269D">
            <w:pPr>
              <w:rPr>
                <w:rFonts w:ascii="Times New Roman" w:eastAsia="Times New Roman" w:hAnsi="Times New Roman" w:cs="Times New Roman"/>
                <w:sz w:val="24"/>
                <w:szCs w:val="24"/>
                <w:lang w:eastAsia="en-IN"/>
              </w:rPr>
            </w:pPr>
            <w:r w:rsidRPr="001D46B5">
              <w:rPr>
                <w:rFonts w:ascii="Times New Roman" w:eastAsia="Times New Roman" w:hAnsi="Times New Roman" w:cs="Times New Roman"/>
                <w:sz w:val="24"/>
                <w:szCs w:val="24"/>
                <w:lang w:eastAsia="en-IN"/>
              </w:rPr>
              <w:t>New York</w:t>
            </w:r>
          </w:p>
        </w:tc>
        <w:tc>
          <w:tcPr>
            <w:tcW w:w="4508" w:type="dxa"/>
            <w:vAlign w:val="center"/>
          </w:tcPr>
          <w:p w14:paraId="2E5DA81C" w14:textId="77777777" w:rsidR="0061269D" w:rsidRPr="001D46B5" w:rsidRDefault="0061269D" w:rsidP="0061269D">
            <w:pPr>
              <w:rPr>
                <w:rFonts w:ascii="Times New Roman" w:eastAsia="Times New Roman" w:hAnsi="Times New Roman" w:cs="Times New Roman"/>
                <w:sz w:val="24"/>
                <w:szCs w:val="24"/>
                <w:lang w:eastAsia="en-IN"/>
              </w:rPr>
            </w:pPr>
            <w:r w:rsidRPr="001D46B5">
              <w:rPr>
                <w:rFonts w:ascii="Times New Roman" w:eastAsia="Times New Roman" w:hAnsi="Times New Roman" w:cs="Times New Roman"/>
                <w:sz w:val="24"/>
                <w:szCs w:val="24"/>
                <w:lang w:eastAsia="en-IN"/>
              </w:rPr>
              <w:t>6,000</w:t>
            </w:r>
          </w:p>
        </w:tc>
      </w:tr>
      <w:tr w:rsidR="0061269D" w14:paraId="47EF60E9" w14:textId="77777777" w:rsidTr="00C3244B">
        <w:tc>
          <w:tcPr>
            <w:tcW w:w="4508" w:type="dxa"/>
            <w:vAlign w:val="center"/>
          </w:tcPr>
          <w:p w14:paraId="598F6BAE" w14:textId="77777777" w:rsidR="0061269D" w:rsidRPr="001D46B5" w:rsidRDefault="0061269D" w:rsidP="0061269D">
            <w:pPr>
              <w:rPr>
                <w:rFonts w:ascii="Times New Roman" w:eastAsia="Times New Roman" w:hAnsi="Times New Roman" w:cs="Times New Roman"/>
                <w:sz w:val="24"/>
                <w:szCs w:val="24"/>
                <w:lang w:eastAsia="en-IN"/>
              </w:rPr>
            </w:pPr>
            <w:r w:rsidRPr="001D46B5">
              <w:rPr>
                <w:rFonts w:ascii="Times New Roman" w:eastAsia="Times New Roman" w:hAnsi="Times New Roman" w:cs="Times New Roman"/>
                <w:sz w:val="24"/>
                <w:szCs w:val="24"/>
                <w:lang w:eastAsia="en-IN"/>
              </w:rPr>
              <w:t>Florida</w:t>
            </w:r>
          </w:p>
        </w:tc>
        <w:tc>
          <w:tcPr>
            <w:tcW w:w="4508" w:type="dxa"/>
            <w:vAlign w:val="center"/>
          </w:tcPr>
          <w:p w14:paraId="6E22CBBF" w14:textId="77777777" w:rsidR="0061269D" w:rsidRPr="001D46B5" w:rsidRDefault="0061269D" w:rsidP="0061269D">
            <w:pPr>
              <w:rPr>
                <w:rFonts w:ascii="Times New Roman" w:eastAsia="Times New Roman" w:hAnsi="Times New Roman" w:cs="Times New Roman"/>
                <w:sz w:val="24"/>
                <w:szCs w:val="24"/>
                <w:lang w:eastAsia="en-IN"/>
              </w:rPr>
            </w:pPr>
            <w:r w:rsidRPr="001D46B5">
              <w:rPr>
                <w:rFonts w:ascii="Times New Roman" w:eastAsia="Times New Roman" w:hAnsi="Times New Roman" w:cs="Times New Roman"/>
                <w:sz w:val="24"/>
                <w:szCs w:val="24"/>
                <w:lang w:eastAsia="en-IN"/>
              </w:rPr>
              <w:t>5,500</w:t>
            </w:r>
          </w:p>
        </w:tc>
      </w:tr>
      <w:tr w:rsidR="0061269D" w14:paraId="0CFF969F" w14:textId="77777777" w:rsidTr="00C3244B">
        <w:tc>
          <w:tcPr>
            <w:tcW w:w="4508" w:type="dxa"/>
            <w:vAlign w:val="center"/>
          </w:tcPr>
          <w:p w14:paraId="4565B4AB" w14:textId="77777777" w:rsidR="0061269D" w:rsidRPr="001D46B5" w:rsidRDefault="0061269D" w:rsidP="0061269D">
            <w:pPr>
              <w:rPr>
                <w:rFonts w:ascii="Times New Roman" w:eastAsia="Times New Roman" w:hAnsi="Times New Roman" w:cs="Times New Roman"/>
                <w:sz w:val="24"/>
                <w:szCs w:val="24"/>
                <w:lang w:eastAsia="en-IN"/>
              </w:rPr>
            </w:pPr>
            <w:r w:rsidRPr="001D46B5">
              <w:rPr>
                <w:rFonts w:ascii="Times New Roman" w:eastAsia="Times New Roman" w:hAnsi="Times New Roman" w:cs="Times New Roman"/>
                <w:sz w:val="24"/>
                <w:szCs w:val="24"/>
                <w:lang w:eastAsia="en-IN"/>
              </w:rPr>
              <w:t>Illinois</w:t>
            </w:r>
          </w:p>
        </w:tc>
        <w:tc>
          <w:tcPr>
            <w:tcW w:w="4508" w:type="dxa"/>
            <w:vAlign w:val="center"/>
          </w:tcPr>
          <w:p w14:paraId="69D0DEC8" w14:textId="77777777" w:rsidR="0061269D" w:rsidRPr="001D46B5" w:rsidRDefault="0061269D" w:rsidP="0061269D">
            <w:pPr>
              <w:rPr>
                <w:rFonts w:ascii="Times New Roman" w:eastAsia="Times New Roman" w:hAnsi="Times New Roman" w:cs="Times New Roman"/>
                <w:sz w:val="24"/>
                <w:szCs w:val="24"/>
                <w:lang w:eastAsia="en-IN"/>
              </w:rPr>
            </w:pPr>
            <w:r w:rsidRPr="001D46B5">
              <w:rPr>
                <w:rFonts w:ascii="Times New Roman" w:eastAsia="Times New Roman" w:hAnsi="Times New Roman" w:cs="Times New Roman"/>
                <w:sz w:val="24"/>
                <w:szCs w:val="24"/>
                <w:lang w:eastAsia="en-IN"/>
              </w:rPr>
              <w:t>5,000</w:t>
            </w:r>
          </w:p>
        </w:tc>
      </w:tr>
      <w:tr w:rsidR="0061269D" w14:paraId="1FD0BF98" w14:textId="77777777" w:rsidTr="00C3244B">
        <w:tc>
          <w:tcPr>
            <w:tcW w:w="4508" w:type="dxa"/>
            <w:vAlign w:val="center"/>
          </w:tcPr>
          <w:p w14:paraId="4441FDD2" w14:textId="77777777" w:rsidR="0061269D" w:rsidRPr="001D46B5" w:rsidRDefault="0061269D" w:rsidP="0061269D">
            <w:pPr>
              <w:rPr>
                <w:rFonts w:ascii="Times New Roman" w:eastAsia="Times New Roman" w:hAnsi="Times New Roman" w:cs="Times New Roman"/>
                <w:sz w:val="24"/>
                <w:szCs w:val="24"/>
                <w:lang w:eastAsia="en-IN"/>
              </w:rPr>
            </w:pPr>
            <w:r w:rsidRPr="001D46B5">
              <w:rPr>
                <w:rFonts w:ascii="Times New Roman" w:eastAsia="Times New Roman" w:hAnsi="Times New Roman" w:cs="Times New Roman"/>
                <w:sz w:val="24"/>
                <w:szCs w:val="24"/>
                <w:lang w:eastAsia="en-IN"/>
              </w:rPr>
              <w:t>Total (Top 5)</w:t>
            </w:r>
          </w:p>
        </w:tc>
        <w:tc>
          <w:tcPr>
            <w:tcW w:w="4508" w:type="dxa"/>
            <w:vAlign w:val="center"/>
          </w:tcPr>
          <w:p w14:paraId="32B333A3" w14:textId="77777777" w:rsidR="0061269D" w:rsidRPr="001D46B5" w:rsidRDefault="0061269D" w:rsidP="0061269D">
            <w:pPr>
              <w:rPr>
                <w:rFonts w:ascii="Times New Roman" w:eastAsia="Times New Roman" w:hAnsi="Times New Roman" w:cs="Times New Roman"/>
                <w:sz w:val="24"/>
                <w:szCs w:val="24"/>
                <w:lang w:eastAsia="en-IN"/>
              </w:rPr>
            </w:pPr>
            <w:r w:rsidRPr="001D46B5">
              <w:rPr>
                <w:rFonts w:ascii="Times New Roman" w:eastAsia="Times New Roman" w:hAnsi="Times New Roman" w:cs="Times New Roman"/>
                <w:sz w:val="24"/>
                <w:szCs w:val="24"/>
                <w:lang w:eastAsia="en-IN"/>
              </w:rPr>
              <w:t>30,000</w:t>
            </w:r>
          </w:p>
        </w:tc>
      </w:tr>
      <w:tr w:rsidR="0061269D" w14:paraId="173DBABE" w14:textId="77777777" w:rsidTr="00C3244B">
        <w:tc>
          <w:tcPr>
            <w:tcW w:w="4508" w:type="dxa"/>
            <w:vAlign w:val="center"/>
          </w:tcPr>
          <w:p w14:paraId="2652F9B8" w14:textId="77777777" w:rsidR="0061269D" w:rsidRPr="001D46B5" w:rsidRDefault="0061269D" w:rsidP="0061269D">
            <w:pPr>
              <w:rPr>
                <w:rFonts w:ascii="Times New Roman" w:eastAsia="Times New Roman" w:hAnsi="Times New Roman" w:cs="Times New Roman"/>
                <w:sz w:val="24"/>
                <w:szCs w:val="24"/>
                <w:lang w:eastAsia="en-IN"/>
              </w:rPr>
            </w:pPr>
            <w:r w:rsidRPr="001D46B5">
              <w:rPr>
                <w:rFonts w:ascii="Times New Roman" w:eastAsia="Times New Roman" w:hAnsi="Times New Roman" w:cs="Times New Roman"/>
                <w:sz w:val="24"/>
                <w:szCs w:val="24"/>
                <w:lang w:eastAsia="en-IN"/>
              </w:rPr>
              <w:t>Other States</w:t>
            </w:r>
          </w:p>
        </w:tc>
        <w:tc>
          <w:tcPr>
            <w:tcW w:w="4508" w:type="dxa"/>
            <w:vAlign w:val="center"/>
          </w:tcPr>
          <w:p w14:paraId="5842D6F8" w14:textId="77777777" w:rsidR="0061269D" w:rsidRPr="001D46B5" w:rsidRDefault="0061269D" w:rsidP="0061269D">
            <w:pPr>
              <w:rPr>
                <w:rFonts w:ascii="Times New Roman" w:eastAsia="Times New Roman" w:hAnsi="Times New Roman" w:cs="Times New Roman"/>
                <w:sz w:val="24"/>
                <w:szCs w:val="24"/>
                <w:lang w:eastAsia="en-IN"/>
              </w:rPr>
            </w:pPr>
            <w:r w:rsidRPr="001D46B5">
              <w:rPr>
                <w:rFonts w:ascii="Times New Roman" w:eastAsia="Times New Roman" w:hAnsi="Times New Roman" w:cs="Times New Roman"/>
                <w:sz w:val="24"/>
                <w:szCs w:val="24"/>
                <w:lang w:eastAsia="en-IN"/>
              </w:rPr>
              <w:t>51,000</w:t>
            </w:r>
          </w:p>
        </w:tc>
      </w:tr>
      <w:tr w:rsidR="0061269D" w14:paraId="5943A9CD" w14:textId="77777777" w:rsidTr="00C3244B">
        <w:tc>
          <w:tcPr>
            <w:tcW w:w="4508" w:type="dxa"/>
            <w:vAlign w:val="center"/>
          </w:tcPr>
          <w:p w14:paraId="3631CBEA" w14:textId="77777777" w:rsidR="0061269D" w:rsidRPr="001D46B5" w:rsidRDefault="0061269D" w:rsidP="0061269D">
            <w:pPr>
              <w:rPr>
                <w:rFonts w:ascii="Times New Roman" w:eastAsia="Times New Roman" w:hAnsi="Times New Roman" w:cs="Times New Roman"/>
                <w:sz w:val="24"/>
                <w:szCs w:val="24"/>
                <w:lang w:eastAsia="en-IN"/>
              </w:rPr>
            </w:pPr>
            <w:r w:rsidRPr="001D46B5">
              <w:rPr>
                <w:rFonts w:ascii="Times New Roman" w:eastAsia="Times New Roman" w:hAnsi="Times New Roman" w:cs="Times New Roman"/>
                <w:sz w:val="24"/>
                <w:szCs w:val="24"/>
                <w:lang w:eastAsia="en-IN"/>
              </w:rPr>
              <w:t>Total (All)</w:t>
            </w:r>
          </w:p>
        </w:tc>
        <w:tc>
          <w:tcPr>
            <w:tcW w:w="4508" w:type="dxa"/>
            <w:vAlign w:val="center"/>
          </w:tcPr>
          <w:p w14:paraId="2F688F06" w14:textId="77777777" w:rsidR="0061269D" w:rsidRPr="001D46B5" w:rsidRDefault="0061269D" w:rsidP="0061269D">
            <w:pPr>
              <w:rPr>
                <w:rFonts w:ascii="Times New Roman" w:eastAsia="Times New Roman" w:hAnsi="Times New Roman" w:cs="Times New Roman"/>
                <w:sz w:val="24"/>
                <w:szCs w:val="24"/>
                <w:lang w:eastAsia="en-IN"/>
              </w:rPr>
            </w:pPr>
            <w:r w:rsidRPr="001D46B5">
              <w:rPr>
                <w:rFonts w:ascii="Times New Roman" w:eastAsia="Times New Roman" w:hAnsi="Times New Roman" w:cs="Times New Roman"/>
                <w:sz w:val="24"/>
                <w:szCs w:val="24"/>
                <w:lang w:eastAsia="en-IN"/>
              </w:rPr>
              <w:t>81,000</w:t>
            </w:r>
          </w:p>
        </w:tc>
      </w:tr>
    </w:tbl>
    <w:p w14:paraId="13D60866" w14:textId="77777777" w:rsidR="0061269D" w:rsidRPr="001D46B5" w:rsidRDefault="0061269D" w:rsidP="001D46B5">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p>
    <w:p w14:paraId="150CEC40" w14:textId="77777777" w:rsidR="001D46B5" w:rsidRDefault="001D46B5" w:rsidP="001D46B5">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1D46B5">
        <w:rPr>
          <w:rFonts w:ascii="Times New Roman" w:eastAsia="Times New Roman" w:hAnsi="Times New Roman" w:cs="Times New Roman"/>
          <w:b/>
          <w:bCs/>
          <w:sz w:val="24"/>
          <w:szCs w:val="24"/>
          <w:lang w:eastAsia="en-IN"/>
        </w:rPr>
        <w:t>Table 3: Average Savings Account Interest Rate (2023)</w:t>
      </w:r>
    </w:p>
    <w:tbl>
      <w:tblPr>
        <w:tblStyle w:val="TableGrid"/>
        <w:tblW w:w="0" w:type="auto"/>
        <w:tblLook w:val="04A0" w:firstRow="1" w:lastRow="0" w:firstColumn="1" w:lastColumn="0" w:noHBand="0" w:noVBand="1"/>
      </w:tblPr>
      <w:tblGrid>
        <w:gridCol w:w="4508"/>
        <w:gridCol w:w="4508"/>
      </w:tblGrid>
      <w:tr w:rsidR="006F2D36" w14:paraId="61C43724" w14:textId="77777777" w:rsidTr="0044692E">
        <w:tc>
          <w:tcPr>
            <w:tcW w:w="4508" w:type="dxa"/>
          </w:tcPr>
          <w:p w14:paraId="2BD019C2" w14:textId="77777777" w:rsidR="006F2D36" w:rsidRDefault="006F2D36" w:rsidP="006F2D36">
            <w:pPr>
              <w:spacing w:before="100" w:beforeAutospacing="1" w:after="100" w:afterAutospacing="1"/>
              <w:outlineLvl w:val="3"/>
              <w:rPr>
                <w:rFonts w:ascii="Times New Roman" w:eastAsia="Times New Roman" w:hAnsi="Times New Roman" w:cs="Times New Roman"/>
                <w:b/>
                <w:bCs/>
                <w:sz w:val="24"/>
                <w:szCs w:val="24"/>
                <w:lang w:eastAsia="en-IN"/>
              </w:rPr>
            </w:pPr>
            <w:r w:rsidRPr="001D46B5">
              <w:rPr>
                <w:rFonts w:ascii="Times New Roman" w:eastAsia="Times New Roman" w:hAnsi="Times New Roman" w:cs="Times New Roman"/>
                <w:b/>
                <w:bCs/>
                <w:sz w:val="24"/>
                <w:szCs w:val="24"/>
                <w:lang w:eastAsia="en-IN"/>
              </w:rPr>
              <w:t>Bank Size</w:t>
            </w:r>
          </w:p>
        </w:tc>
        <w:tc>
          <w:tcPr>
            <w:tcW w:w="4508" w:type="dxa"/>
            <w:vAlign w:val="center"/>
          </w:tcPr>
          <w:p w14:paraId="6978FE64" w14:textId="77777777" w:rsidR="006F2D36" w:rsidRPr="001D46B5" w:rsidRDefault="006F2D36" w:rsidP="006F2D36">
            <w:pPr>
              <w:jc w:val="center"/>
              <w:rPr>
                <w:rFonts w:ascii="Times New Roman" w:eastAsia="Times New Roman" w:hAnsi="Times New Roman" w:cs="Times New Roman"/>
                <w:b/>
                <w:bCs/>
                <w:sz w:val="24"/>
                <w:szCs w:val="24"/>
                <w:lang w:eastAsia="en-IN"/>
              </w:rPr>
            </w:pPr>
            <w:r w:rsidRPr="001D46B5">
              <w:rPr>
                <w:rFonts w:ascii="Times New Roman" w:eastAsia="Times New Roman" w:hAnsi="Times New Roman" w:cs="Times New Roman"/>
                <w:b/>
                <w:bCs/>
                <w:sz w:val="24"/>
                <w:szCs w:val="24"/>
                <w:lang w:eastAsia="en-IN"/>
              </w:rPr>
              <w:t>Interest Rate (%)</w:t>
            </w:r>
          </w:p>
        </w:tc>
      </w:tr>
      <w:tr w:rsidR="006F2D36" w14:paraId="53C5296F" w14:textId="77777777" w:rsidTr="0066240D">
        <w:tc>
          <w:tcPr>
            <w:tcW w:w="4508" w:type="dxa"/>
            <w:vAlign w:val="center"/>
          </w:tcPr>
          <w:p w14:paraId="3F8440BC" w14:textId="77777777" w:rsidR="006F2D36" w:rsidRPr="001D46B5" w:rsidRDefault="006F2D36" w:rsidP="006F2D36">
            <w:pPr>
              <w:rPr>
                <w:rFonts w:ascii="Times New Roman" w:eastAsia="Times New Roman" w:hAnsi="Times New Roman" w:cs="Times New Roman"/>
                <w:sz w:val="24"/>
                <w:szCs w:val="24"/>
                <w:lang w:eastAsia="en-IN"/>
              </w:rPr>
            </w:pPr>
            <w:r w:rsidRPr="001D46B5">
              <w:rPr>
                <w:rFonts w:ascii="Times New Roman" w:eastAsia="Times New Roman" w:hAnsi="Times New Roman" w:cs="Times New Roman"/>
                <w:sz w:val="24"/>
                <w:szCs w:val="24"/>
                <w:lang w:eastAsia="en-IN"/>
              </w:rPr>
              <w:t>Large Banks</w:t>
            </w:r>
          </w:p>
        </w:tc>
        <w:tc>
          <w:tcPr>
            <w:tcW w:w="4508" w:type="dxa"/>
            <w:vAlign w:val="center"/>
          </w:tcPr>
          <w:p w14:paraId="4FB45246" w14:textId="77777777" w:rsidR="006F2D36" w:rsidRPr="001D46B5" w:rsidRDefault="006F2D36" w:rsidP="006F2D36">
            <w:pPr>
              <w:rPr>
                <w:rFonts w:ascii="Times New Roman" w:eastAsia="Times New Roman" w:hAnsi="Times New Roman" w:cs="Times New Roman"/>
                <w:sz w:val="24"/>
                <w:szCs w:val="24"/>
                <w:lang w:eastAsia="en-IN"/>
              </w:rPr>
            </w:pPr>
            <w:r w:rsidRPr="001D46B5">
              <w:rPr>
                <w:rFonts w:ascii="Times New Roman" w:eastAsia="Times New Roman" w:hAnsi="Times New Roman" w:cs="Times New Roman"/>
                <w:sz w:val="24"/>
                <w:szCs w:val="24"/>
                <w:lang w:eastAsia="en-IN"/>
              </w:rPr>
              <w:t>0.20</w:t>
            </w:r>
          </w:p>
        </w:tc>
      </w:tr>
      <w:tr w:rsidR="006F2D36" w14:paraId="0A61F00E" w14:textId="77777777" w:rsidTr="0066240D">
        <w:tc>
          <w:tcPr>
            <w:tcW w:w="4508" w:type="dxa"/>
            <w:vAlign w:val="center"/>
          </w:tcPr>
          <w:p w14:paraId="4DD377A4" w14:textId="77777777" w:rsidR="006F2D36" w:rsidRPr="001D46B5" w:rsidRDefault="006F2D36" w:rsidP="006F2D36">
            <w:pPr>
              <w:rPr>
                <w:rFonts w:ascii="Times New Roman" w:eastAsia="Times New Roman" w:hAnsi="Times New Roman" w:cs="Times New Roman"/>
                <w:sz w:val="24"/>
                <w:szCs w:val="24"/>
                <w:lang w:eastAsia="en-IN"/>
              </w:rPr>
            </w:pPr>
            <w:r w:rsidRPr="001D46B5">
              <w:rPr>
                <w:rFonts w:ascii="Times New Roman" w:eastAsia="Times New Roman" w:hAnsi="Times New Roman" w:cs="Times New Roman"/>
                <w:sz w:val="24"/>
                <w:szCs w:val="24"/>
                <w:lang w:eastAsia="en-IN"/>
              </w:rPr>
              <w:t>Medium-Sized Banks</w:t>
            </w:r>
          </w:p>
        </w:tc>
        <w:tc>
          <w:tcPr>
            <w:tcW w:w="4508" w:type="dxa"/>
            <w:vAlign w:val="center"/>
          </w:tcPr>
          <w:p w14:paraId="44A1B322" w14:textId="77777777" w:rsidR="006F2D36" w:rsidRPr="001D46B5" w:rsidRDefault="006F2D36" w:rsidP="006F2D36">
            <w:pPr>
              <w:rPr>
                <w:rFonts w:ascii="Times New Roman" w:eastAsia="Times New Roman" w:hAnsi="Times New Roman" w:cs="Times New Roman"/>
                <w:sz w:val="24"/>
                <w:szCs w:val="24"/>
                <w:lang w:eastAsia="en-IN"/>
              </w:rPr>
            </w:pPr>
            <w:r w:rsidRPr="001D46B5">
              <w:rPr>
                <w:rFonts w:ascii="Times New Roman" w:eastAsia="Times New Roman" w:hAnsi="Times New Roman" w:cs="Times New Roman"/>
                <w:sz w:val="24"/>
                <w:szCs w:val="24"/>
                <w:lang w:eastAsia="en-IN"/>
              </w:rPr>
              <w:t>0.30</w:t>
            </w:r>
          </w:p>
        </w:tc>
      </w:tr>
      <w:tr w:rsidR="006F2D36" w14:paraId="31CA28D2" w14:textId="77777777" w:rsidTr="0066240D">
        <w:tc>
          <w:tcPr>
            <w:tcW w:w="4508" w:type="dxa"/>
            <w:vAlign w:val="center"/>
          </w:tcPr>
          <w:p w14:paraId="6A42EE40" w14:textId="77777777" w:rsidR="006F2D36" w:rsidRPr="001D46B5" w:rsidRDefault="006F2D36" w:rsidP="006F2D36">
            <w:pPr>
              <w:rPr>
                <w:rFonts w:ascii="Times New Roman" w:eastAsia="Times New Roman" w:hAnsi="Times New Roman" w:cs="Times New Roman"/>
                <w:sz w:val="24"/>
                <w:szCs w:val="24"/>
                <w:lang w:eastAsia="en-IN"/>
              </w:rPr>
            </w:pPr>
            <w:r w:rsidRPr="001D46B5">
              <w:rPr>
                <w:rFonts w:ascii="Times New Roman" w:eastAsia="Times New Roman" w:hAnsi="Times New Roman" w:cs="Times New Roman"/>
                <w:sz w:val="24"/>
                <w:szCs w:val="24"/>
                <w:lang w:eastAsia="en-IN"/>
              </w:rPr>
              <w:t>Small Banks</w:t>
            </w:r>
          </w:p>
        </w:tc>
        <w:tc>
          <w:tcPr>
            <w:tcW w:w="4508" w:type="dxa"/>
            <w:vAlign w:val="center"/>
          </w:tcPr>
          <w:p w14:paraId="24BAEAB0" w14:textId="77777777" w:rsidR="006F2D36" w:rsidRPr="001D46B5" w:rsidRDefault="006F2D36" w:rsidP="006F2D36">
            <w:pPr>
              <w:rPr>
                <w:rFonts w:ascii="Times New Roman" w:eastAsia="Times New Roman" w:hAnsi="Times New Roman" w:cs="Times New Roman"/>
                <w:sz w:val="24"/>
                <w:szCs w:val="24"/>
                <w:lang w:eastAsia="en-IN"/>
              </w:rPr>
            </w:pPr>
            <w:r w:rsidRPr="001D46B5">
              <w:rPr>
                <w:rFonts w:ascii="Times New Roman" w:eastAsia="Times New Roman" w:hAnsi="Times New Roman" w:cs="Times New Roman"/>
                <w:sz w:val="24"/>
                <w:szCs w:val="24"/>
                <w:lang w:eastAsia="en-IN"/>
              </w:rPr>
              <w:t>0.50</w:t>
            </w:r>
          </w:p>
        </w:tc>
      </w:tr>
      <w:tr w:rsidR="006F2D36" w14:paraId="246D9B30" w14:textId="77777777" w:rsidTr="0066240D">
        <w:tc>
          <w:tcPr>
            <w:tcW w:w="4508" w:type="dxa"/>
            <w:vAlign w:val="center"/>
          </w:tcPr>
          <w:p w14:paraId="338CD3AF" w14:textId="77777777" w:rsidR="006F2D36" w:rsidRPr="001D46B5" w:rsidRDefault="006F2D36" w:rsidP="006F2D36">
            <w:pPr>
              <w:rPr>
                <w:rFonts w:ascii="Times New Roman" w:eastAsia="Times New Roman" w:hAnsi="Times New Roman" w:cs="Times New Roman"/>
                <w:sz w:val="24"/>
                <w:szCs w:val="24"/>
                <w:lang w:eastAsia="en-IN"/>
              </w:rPr>
            </w:pPr>
            <w:r w:rsidRPr="001D46B5">
              <w:rPr>
                <w:rFonts w:ascii="Times New Roman" w:eastAsia="Times New Roman" w:hAnsi="Times New Roman" w:cs="Times New Roman"/>
                <w:sz w:val="24"/>
                <w:szCs w:val="24"/>
                <w:lang w:eastAsia="en-IN"/>
              </w:rPr>
              <w:t>Online Banks</w:t>
            </w:r>
          </w:p>
        </w:tc>
        <w:tc>
          <w:tcPr>
            <w:tcW w:w="4508" w:type="dxa"/>
            <w:vAlign w:val="center"/>
          </w:tcPr>
          <w:p w14:paraId="3CA1C0C8" w14:textId="77777777" w:rsidR="006F2D36" w:rsidRPr="001D46B5" w:rsidRDefault="006F2D36" w:rsidP="006F2D36">
            <w:pPr>
              <w:rPr>
                <w:rFonts w:ascii="Times New Roman" w:eastAsia="Times New Roman" w:hAnsi="Times New Roman" w:cs="Times New Roman"/>
                <w:sz w:val="24"/>
                <w:szCs w:val="24"/>
                <w:lang w:eastAsia="en-IN"/>
              </w:rPr>
            </w:pPr>
            <w:r w:rsidRPr="001D46B5">
              <w:rPr>
                <w:rFonts w:ascii="Times New Roman" w:eastAsia="Times New Roman" w:hAnsi="Times New Roman" w:cs="Times New Roman"/>
                <w:sz w:val="24"/>
                <w:szCs w:val="24"/>
                <w:lang w:eastAsia="en-IN"/>
              </w:rPr>
              <w:t>0.60</w:t>
            </w:r>
          </w:p>
        </w:tc>
      </w:tr>
      <w:tr w:rsidR="006F2D36" w14:paraId="5805A79A" w14:textId="77777777" w:rsidTr="00726021">
        <w:tc>
          <w:tcPr>
            <w:tcW w:w="4508" w:type="dxa"/>
            <w:vAlign w:val="center"/>
          </w:tcPr>
          <w:p w14:paraId="1BE754CF" w14:textId="77777777" w:rsidR="006F2D36" w:rsidRPr="001D46B5" w:rsidRDefault="006F2D36" w:rsidP="006F2D36">
            <w:pPr>
              <w:rPr>
                <w:rFonts w:ascii="Times New Roman" w:eastAsia="Times New Roman" w:hAnsi="Times New Roman" w:cs="Times New Roman"/>
                <w:sz w:val="24"/>
                <w:szCs w:val="24"/>
                <w:lang w:eastAsia="en-IN"/>
              </w:rPr>
            </w:pPr>
            <w:r w:rsidRPr="001D46B5">
              <w:rPr>
                <w:rFonts w:ascii="Times New Roman" w:eastAsia="Times New Roman" w:hAnsi="Times New Roman" w:cs="Times New Roman"/>
                <w:sz w:val="24"/>
                <w:szCs w:val="24"/>
                <w:lang w:eastAsia="en-IN"/>
              </w:rPr>
              <w:t>Credit Unions</w:t>
            </w:r>
          </w:p>
        </w:tc>
        <w:tc>
          <w:tcPr>
            <w:tcW w:w="4508" w:type="dxa"/>
            <w:vAlign w:val="center"/>
          </w:tcPr>
          <w:p w14:paraId="14AD50E9" w14:textId="77777777" w:rsidR="006F2D36" w:rsidRPr="001D46B5" w:rsidRDefault="006F2D36" w:rsidP="006F2D36">
            <w:pPr>
              <w:rPr>
                <w:rFonts w:ascii="Times New Roman" w:eastAsia="Times New Roman" w:hAnsi="Times New Roman" w:cs="Times New Roman"/>
                <w:sz w:val="24"/>
                <w:szCs w:val="24"/>
                <w:lang w:eastAsia="en-IN"/>
              </w:rPr>
            </w:pPr>
            <w:r w:rsidRPr="001D46B5">
              <w:rPr>
                <w:rFonts w:ascii="Times New Roman" w:eastAsia="Times New Roman" w:hAnsi="Times New Roman" w:cs="Times New Roman"/>
                <w:sz w:val="24"/>
                <w:szCs w:val="24"/>
                <w:lang w:eastAsia="en-IN"/>
              </w:rPr>
              <w:t>0.45</w:t>
            </w:r>
          </w:p>
        </w:tc>
      </w:tr>
      <w:tr w:rsidR="006F2D36" w14:paraId="56EF98B7" w14:textId="77777777" w:rsidTr="00726021">
        <w:tc>
          <w:tcPr>
            <w:tcW w:w="4508" w:type="dxa"/>
            <w:vAlign w:val="center"/>
          </w:tcPr>
          <w:p w14:paraId="6BFB982F" w14:textId="77777777" w:rsidR="006F2D36" w:rsidRPr="001D46B5" w:rsidRDefault="006F2D36" w:rsidP="006F2D36">
            <w:pPr>
              <w:rPr>
                <w:rFonts w:ascii="Times New Roman" w:eastAsia="Times New Roman" w:hAnsi="Times New Roman" w:cs="Times New Roman"/>
                <w:sz w:val="24"/>
                <w:szCs w:val="24"/>
                <w:lang w:eastAsia="en-IN"/>
              </w:rPr>
            </w:pPr>
            <w:r w:rsidRPr="001D46B5">
              <w:rPr>
                <w:rFonts w:ascii="Times New Roman" w:eastAsia="Times New Roman" w:hAnsi="Times New Roman" w:cs="Times New Roman"/>
                <w:sz w:val="24"/>
                <w:szCs w:val="24"/>
                <w:lang w:eastAsia="en-IN"/>
              </w:rPr>
              <w:t>Average</w:t>
            </w:r>
          </w:p>
        </w:tc>
        <w:tc>
          <w:tcPr>
            <w:tcW w:w="4508" w:type="dxa"/>
            <w:vAlign w:val="center"/>
          </w:tcPr>
          <w:p w14:paraId="2E0A29BA" w14:textId="77777777" w:rsidR="006F2D36" w:rsidRPr="001D46B5" w:rsidRDefault="006F2D36" w:rsidP="006F2D36">
            <w:pPr>
              <w:rPr>
                <w:rFonts w:ascii="Times New Roman" w:eastAsia="Times New Roman" w:hAnsi="Times New Roman" w:cs="Times New Roman"/>
                <w:sz w:val="24"/>
                <w:szCs w:val="24"/>
                <w:lang w:eastAsia="en-IN"/>
              </w:rPr>
            </w:pPr>
            <w:r w:rsidRPr="001D46B5">
              <w:rPr>
                <w:rFonts w:ascii="Times New Roman" w:eastAsia="Times New Roman" w:hAnsi="Times New Roman" w:cs="Times New Roman"/>
                <w:sz w:val="24"/>
                <w:szCs w:val="24"/>
                <w:lang w:eastAsia="en-IN"/>
              </w:rPr>
              <w:t>0.30</w:t>
            </w:r>
          </w:p>
        </w:tc>
      </w:tr>
    </w:tbl>
    <w:p w14:paraId="2788E9B6" w14:textId="32D6E74E" w:rsidR="001D46B5" w:rsidRDefault="001D46B5" w:rsidP="001D46B5">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1D46B5">
        <w:rPr>
          <w:rFonts w:ascii="Times New Roman" w:eastAsia="Times New Roman" w:hAnsi="Times New Roman" w:cs="Times New Roman"/>
          <w:b/>
          <w:bCs/>
          <w:sz w:val="24"/>
          <w:szCs w:val="24"/>
          <w:lang w:eastAsia="en-IN"/>
        </w:rPr>
        <w:t>Average Mortgage Loan Interest Rate (30-year fixed, 2023)</w:t>
      </w:r>
    </w:p>
    <w:tbl>
      <w:tblPr>
        <w:tblStyle w:val="TableGrid"/>
        <w:tblW w:w="0" w:type="auto"/>
        <w:tblLook w:val="04A0" w:firstRow="1" w:lastRow="0" w:firstColumn="1" w:lastColumn="0" w:noHBand="0" w:noVBand="1"/>
      </w:tblPr>
      <w:tblGrid>
        <w:gridCol w:w="4508"/>
        <w:gridCol w:w="4508"/>
      </w:tblGrid>
      <w:tr w:rsidR="006F2D36" w14:paraId="4F8EEAC1" w14:textId="77777777" w:rsidTr="00B56550">
        <w:tc>
          <w:tcPr>
            <w:tcW w:w="4508" w:type="dxa"/>
            <w:vAlign w:val="center"/>
          </w:tcPr>
          <w:p w14:paraId="4A7AABEE" w14:textId="77777777" w:rsidR="006F2D36" w:rsidRPr="001D46B5" w:rsidRDefault="006F2D36" w:rsidP="006F2D36">
            <w:pPr>
              <w:jc w:val="center"/>
              <w:rPr>
                <w:rFonts w:ascii="Times New Roman" w:eastAsia="Times New Roman" w:hAnsi="Times New Roman" w:cs="Times New Roman"/>
                <w:b/>
                <w:bCs/>
                <w:sz w:val="24"/>
                <w:szCs w:val="24"/>
                <w:lang w:eastAsia="en-IN"/>
              </w:rPr>
            </w:pPr>
            <w:r w:rsidRPr="001D46B5">
              <w:rPr>
                <w:rFonts w:ascii="Times New Roman" w:eastAsia="Times New Roman" w:hAnsi="Times New Roman" w:cs="Times New Roman"/>
                <w:b/>
                <w:bCs/>
                <w:sz w:val="24"/>
                <w:szCs w:val="24"/>
                <w:lang w:eastAsia="en-IN"/>
              </w:rPr>
              <w:t>Month</w:t>
            </w:r>
          </w:p>
        </w:tc>
        <w:tc>
          <w:tcPr>
            <w:tcW w:w="4508" w:type="dxa"/>
            <w:vAlign w:val="center"/>
          </w:tcPr>
          <w:p w14:paraId="5F22A7DE" w14:textId="77777777" w:rsidR="006F2D36" w:rsidRPr="001D46B5" w:rsidRDefault="006F2D36" w:rsidP="006F2D36">
            <w:pPr>
              <w:jc w:val="center"/>
              <w:rPr>
                <w:rFonts w:ascii="Times New Roman" w:eastAsia="Times New Roman" w:hAnsi="Times New Roman" w:cs="Times New Roman"/>
                <w:b/>
                <w:bCs/>
                <w:sz w:val="24"/>
                <w:szCs w:val="24"/>
                <w:lang w:eastAsia="en-IN"/>
              </w:rPr>
            </w:pPr>
            <w:r w:rsidRPr="001D46B5">
              <w:rPr>
                <w:rFonts w:ascii="Times New Roman" w:eastAsia="Times New Roman" w:hAnsi="Times New Roman" w:cs="Times New Roman"/>
                <w:b/>
                <w:bCs/>
                <w:sz w:val="24"/>
                <w:szCs w:val="24"/>
                <w:lang w:eastAsia="en-IN"/>
              </w:rPr>
              <w:t>Month</w:t>
            </w:r>
          </w:p>
        </w:tc>
      </w:tr>
      <w:tr w:rsidR="006F2D36" w14:paraId="17C2ED13" w14:textId="77777777" w:rsidTr="000C6129">
        <w:tc>
          <w:tcPr>
            <w:tcW w:w="4508" w:type="dxa"/>
            <w:vAlign w:val="center"/>
          </w:tcPr>
          <w:p w14:paraId="38D0D8A9" w14:textId="77777777" w:rsidR="006F2D36" w:rsidRPr="001D46B5" w:rsidRDefault="006F2D36" w:rsidP="006F2D36">
            <w:pPr>
              <w:rPr>
                <w:rFonts w:ascii="Times New Roman" w:eastAsia="Times New Roman" w:hAnsi="Times New Roman" w:cs="Times New Roman"/>
                <w:sz w:val="24"/>
                <w:szCs w:val="24"/>
                <w:lang w:eastAsia="en-IN"/>
              </w:rPr>
            </w:pPr>
            <w:r w:rsidRPr="001D46B5">
              <w:rPr>
                <w:rFonts w:ascii="Times New Roman" w:eastAsia="Times New Roman" w:hAnsi="Times New Roman" w:cs="Times New Roman"/>
                <w:sz w:val="24"/>
                <w:szCs w:val="24"/>
                <w:lang w:eastAsia="en-IN"/>
              </w:rPr>
              <w:t>January</w:t>
            </w:r>
          </w:p>
        </w:tc>
        <w:tc>
          <w:tcPr>
            <w:tcW w:w="4508" w:type="dxa"/>
            <w:vAlign w:val="center"/>
          </w:tcPr>
          <w:p w14:paraId="3F14B079" w14:textId="77777777" w:rsidR="006F2D36" w:rsidRPr="001D46B5" w:rsidRDefault="006F2D36" w:rsidP="006F2D36">
            <w:pPr>
              <w:rPr>
                <w:rFonts w:ascii="Times New Roman" w:eastAsia="Times New Roman" w:hAnsi="Times New Roman" w:cs="Times New Roman"/>
                <w:sz w:val="24"/>
                <w:szCs w:val="24"/>
                <w:lang w:eastAsia="en-IN"/>
              </w:rPr>
            </w:pPr>
            <w:r w:rsidRPr="001D46B5">
              <w:rPr>
                <w:rFonts w:ascii="Times New Roman" w:eastAsia="Times New Roman" w:hAnsi="Times New Roman" w:cs="Times New Roman"/>
                <w:sz w:val="24"/>
                <w:szCs w:val="24"/>
                <w:lang w:eastAsia="en-IN"/>
              </w:rPr>
              <w:t>6.00</w:t>
            </w:r>
          </w:p>
        </w:tc>
      </w:tr>
      <w:tr w:rsidR="006F2D36" w14:paraId="36688A08" w14:textId="77777777" w:rsidTr="000C6129">
        <w:tc>
          <w:tcPr>
            <w:tcW w:w="4508" w:type="dxa"/>
            <w:vAlign w:val="center"/>
          </w:tcPr>
          <w:p w14:paraId="2C0DA096" w14:textId="77777777" w:rsidR="006F2D36" w:rsidRPr="001D46B5" w:rsidRDefault="006F2D36" w:rsidP="006F2D36">
            <w:pPr>
              <w:rPr>
                <w:rFonts w:ascii="Times New Roman" w:eastAsia="Times New Roman" w:hAnsi="Times New Roman" w:cs="Times New Roman"/>
                <w:sz w:val="24"/>
                <w:szCs w:val="24"/>
                <w:lang w:eastAsia="en-IN"/>
              </w:rPr>
            </w:pPr>
            <w:r w:rsidRPr="001D46B5">
              <w:rPr>
                <w:rFonts w:ascii="Times New Roman" w:eastAsia="Times New Roman" w:hAnsi="Times New Roman" w:cs="Times New Roman"/>
                <w:sz w:val="24"/>
                <w:szCs w:val="24"/>
                <w:lang w:eastAsia="en-IN"/>
              </w:rPr>
              <w:t>February</w:t>
            </w:r>
          </w:p>
        </w:tc>
        <w:tc>
          <w:tcPr>
            <w:tcW w:w="4508" w:type="dxa"/>
            <w:vAlign w:val="center"/>
          </w:tcPr>
          <w:p w14:paraId="21D65430" w14:textId="77777777" w:rsidR="006F2D36" w:rsidRPr="001D46B5" w:rsidRDefault="006F2D36" w:rsidP="006F2D36">
            <w:pPr>
              <w:rPr>
                <w:rFonts w:ascii="Times New Roman" w:eastAsia="Times New Roman" w:hAnsi="Times New Roman" w:cs="Times New Roman"/>
                <w:sz w:val="24"/>
                <w:szCs w:val="24"/>
                <w:lang w:eastAsia="en-IN"/>
              </w:rPr>
            </w:pPr>
            <w:r w:rsidRPr="001D46B5">
              <w:rPr>
                <w:rFonts w:ascii="Times New Roman" w:eastAsia="Times New Roman" w:hAnsi="Times New Roman" w:cs="Times New Roman"/>
                <w:sz w:val="24"/>
                <w:szCs w:val="24"/>
                <w:lang w:eastAsia="en-IN"/>
              </w:rPr>
              <w:t>6.10</w:t>
            </w:r>
          </w:p>
        </w:tc>
      </w:tr>
      <w:tr w:rsidR="006F2D36" w14:paraId="1ACE91CC" w14:textId="77777777" w:rsidTr="000C6129">
        <w:tc>
          <w:tcPr>
            <w:tcW w:w="4508" w:type="dxa"/>
            <w:vAlign w:val="center"/>
          </w:tcPr>
          <w:p w14:paraId="63843184" w14:textId="77777777" w:rsidR="006F2D36" w:rsidRPr="001D46B5" w:rsidRDefault="006F2D36" w:rsidP="006F2D36">
            <w:pPr>
              <w:rPr>
                <w:rFonts w:ascii="Times New Roman" w:eastAsia="Times New Roman" w:hAnsi="Times New Roman" w:cs="Times New Roman"/>
                <w:sz w:val="24"/>
                <w:szCs w:val="24"/>
                <w:lang w:eastAsia="en-IN"/>
              </w:rPr>
            </w:pPr>
            <w:r w:rsidRPr="001D46B5">
              <w:rPr>
                <w:rFonts w:ascii="Times New Roman" w:eastAsia="Times New Roman" w:hAnsi="Times New Roman" w:cs="Times New Roman"/>
                <w:sz w:val="24"/>
                <w:szCs w:val="24"/>
                <w:lang w:eastAsia="en-IN"/>
              </w:rPr>
              <w:t>March</w:t>
            </w:r>
          </w:p>
        </w:tc>
        <w:tc>
          <w:tcPr>
            <w:tcW w:w="4508" w:type="dxa"/>
            <w:vAlign w:val="center"/>
          </w:tcPr>
          <w:p w14:paraId="616C8246" w14:textId="77777777" w:rsidR="006F2D36" w:rsidRPr="001D46B5" w:rsidRDefault="006F2D36" w:rsidP="006F2D36">
            <w:pPr>
              <w:rPr>
                <w:rFonts w:ascii="Times New Roman" w:eastAsia="Times New Roman" w:hAnsi="Times New Roman" w:cs="Times New Roman"/>
                <w:sz w:val="24"/>
                <w:szCs w:val="24"/>
                <w:lang w:eastAsia="en-IN"/>
              </w:rPr>
            </w:pPr>
            <w:r w:rsidRPr="001D46B5">
              <w:rPr>
                <w:rFonts w:ascii="Times New Roman" w:eastAsia="Times New Roman" w:hAnsi="Times New Roman" w:cs="Times New Roman"/>
                <w:sz w:val="24"/>
                <w:szCs w:val="24"/>
                <w:lang w:eastAsia="en-IN"/>
              </w:rPr>
              <w:t>6.20</w:t>
            </w:r>
          </w:p>
        </w:tc>
      </w:tr>
      <w:tr w:rsidR="006F2D36" w14:paraId="4CA92B5E" w14:textId="77777777" w:rsidTr="000C6129">
        <w:tc>
          <w:tcPr>
            <w:tcW w:w="4508" w:type="dxa"/>
            <w:vAlign w:val="center"/>
          </w:tcPr>
          <w:p w14:paraId="01BBF4D6" w14:textId="77777777" w:rsidR="006F2D36" w:rsidRPr="001D46B5" w:rsidRDefault="006F2D36" w:rsidP="006F2D36">
            <w:pPr>
              <w:rPr>
                <w:rFonts w:ascii="Times New Roman" w:eastAsia="Times New Roman" w:hAnsi="Times New Roman" w:cs="Times New Roman"/>
                <w:sz w:val="24"/>
                <w:szCs w:val="24"/>
                <w:lang w:eastAsia="en-IN"/>
              </w:rPr>
            </w:pPr>
            <w:r w:rsidRPr="001D46B5">
              <w:rPr>
                <w:rFonts w:ascii="Times New Roman" w:eastAsia="Times New Roman" w:hAnsi="Times New Roman" w:cs="Times New Roman"/>
                <w:sz w:val="24"/>
                <w:szCs w:val="24"/>
                <w:lang w:eastAsia="en-IN"/>
              </w:rPr>
              <w:t>April</w:t>
            </w:r>
          </w:p>
        </w:tc>
        <w:tc>
          <w:tcPr>
            <w:tcW w:w="4508" w:type="dxa"/>
            <w:vAlign w:val="center"/>
          </w:tcPr>
          <w:p w14:paraId="22AC7249" w14:textId="77777777" w:rsidR="006F2D36" w:rsidRPr="001D46B5" w:rsidRDefault="006F2D36" w:rsidP="006F2D36">
            <w:pPr>
              <w:rPr>
                <w:rFonts w:ascii="Times New Roman" w:eastAsia="Times New Roman" w:hAnsi="Times New Roman" w:cs="Times New Roman"/>
                <w:sz w:val="24"/>
                <w:szCs w:val="24"/>
                <w:lang w:eastAsia="en-IN"/>
              </w:rPr>
            </w:pPr>
            <w:r w:rsidRPr="001D46B5">
              <w:rPr>
                <w:rFonts w:ascii="Times New Roman" w:eastAsia="Times New Roman" w:hAnsi="Times New Roman" w:cs="Times New Roman"/>
                <w:sz w:val="24"/>
                <w:szCs w:val="24"/>
                <w:lang w:eastAsia="en-IN"/>
              </w:rPr>
              <w:t>6.30</w:t>
            </w:r>
          </w:p>
        </w:tc>
      </w:tr>
      <w:tr w:rsidR="006F2D36" w14:paraId="30E28580" w14:textId="77777777" w:rsidTr="000C6129">
        <w:tc>
          <w:tcPr>
            <w:tcW w:w="4508" w:type="dxa"/>
            <w:vAlign w:val="center"/>
          </w:tcPr>
          <w:p w14:paraId="10F1A59E" w14:textId="77777777" w:rsidR="006F2D36" w:rsidRPr="001D46B5" w:rsidRDefault="006F2D36" w:rsidP="006F2D36">
            <w:pPr>
              <w:rPr>
                <w:rFonts w:ascii="Times New Roman" w:eastAsia="Times New Roman" w:hAnsi="Times New Roman" w:cs="Times New Roman"/>
                <w:sz w:val="24"/>
                <w:szCs w:val="24"/>
                <w:lang w:eastAsia="en-IN"/>
              </w:rPr>
            </w:pPr>
            <w:r w:rsidRPr="001D46B5">
              <w:rPr>
                <w:rFonts w:ascii="Times New Roman" w:eastAsia="Times New Roman" w:hAnsi="Times New Roman" w:cs="Times New Roman"/>
                <w:sz w:val="24"/>
                <w:szCs w:val="24"/>
                <w:lang w:eastAsia="en-IN"/>
              </w:rPr>
              <w:t>May</w:t>
            </w:r>
          </w:p>
        </w:tc>
        <w:tc>
          <w:tcPr>
            <w:tcW w:w="4508" w:type="dxa"/>
            <w:vAlign w:val="center"/>
          </w:tcPr>
          <w:p w14:paraId="216B6A87" w14:textId="77777777" w:rsidR="006F2D36" w:rsidRPr="001D46B5" w:rsidRDefault="006F2D36" w:rsidP="006F2D36">
            <w:pPr>
              <w:rPr>
                <w:rFonts w:ascii="Times New Roman" w:eastAsia="Times New Roman" w:hAnsi="Times New Roman" w:cs="Times New Roman"/>
                <w:sz w:val="24"/>
                <w:szCs w:val="24"/>
                <w:lang w:eastAsia="en-IN"/>
              </w:rPr>
            </w:pPr>
            <w:r w:rsidRPr="001D46B5">
              <w:rPr>
                <w:rFonts w:ascii="Times New Roman" w:eastAsia="Times New Roman" w:hAnsi="Times New Roman" w:cs="Times New Roman"/>
                <w:sz w:val="24"/>
                <w:szCs w:val="24"/>
                <w:lang w:eastAsia="en-IN"/>
              </w:rPr>
              <w:t>6.40</w:t>
            </w:r>
          </w:p>
        </w:tc>
      </w:tr>
      <w:tr w:rsidR="006F2D36" w14:paraId="47980F0C" w14:textId="77777777" w:rsidTr="000C6129">
        <w:tc>
          <w:tcPr>
            <w:tcW w:w="4508" w:type="dxa"/>
            <w:vAlign w:val="center"/>
          </w:tcPr>
          <w:p w14:paraId="7D284BC6" w14:textId="77777777" w:rsidR="006F2D36" w:rsidRPr="001D46B5" w:rsidRDefault="006F2D36" w:rsidP="006F2D36">
            <w:pPr>
              <w:rPr>
                <w:rFonts w:ascii="Times New Roman" w:eastAsia="Times New Roman" w:hAnsi="Times New Roman" w:cs="Times New Roman"/>
                <w:sz w:val="24"/>
                <w:szCs w:val="24"/>
                <w:lang w:eastAsia="en-IN"/>
              </w:rPr>
            </w:pPr>
            <w:r w:rsidRPr="001D46B5">
              <w:rPr>
                <w:rFonts w:ascii="Times New Roman" w:eastAsia="Times New Roman" w:hAnsi="Times New Roman" w:cs="Times New Roman"/>
                <w:sz w:val="24"/>
                <w:szCs w:val="24"/>
                <w:lang w:eastAsia="en-IN"/>
              </w:rPr>
              <w:t>June</w:t>
            </w:r>
          </w:p>
        </w:tc>
        <w:tc>
          <w:tcPr>
            <w:tcW w:w="4508" w:type="dxa"/>
            <w:vAlign w:val="center"/>
          </w:tcPr>
          <w:p w14:paraId="0DEFE7B0" w14:textId="77777777" w:rsidR="006F2D36" w:rsidRPr="001D46B5" w:rsidRDefault="006F2D36" w:rsidP="006F2D36">
            <w:pPr>
              <w:rPr>
                <w:rFonts w:ascii="Times New Roman" w:eastAsia="Times New Roman" w:hAnsi="Times New Roman" w:cs="Times New Roman"/>
                <w:sz w:val="24"/>
                <w:szCs w:val="24"/>
                <w:lang w:eastAsia="en-IN"/>
              </w:rPr>
            </w:pPr>
            <w:r w:rsidRPr="001D46B5">
              <w:rPr>
                <w:rFonts w:ascii="Times New Roman" w:eastAsia="Times New Roman" w:hAnsi="Times New Roman" w:cs="Times New Roman"/>
                <w:sz w:val="24"/>
                <w:szCs w:val="24"/>
                <w:lang w:eastAsia="en-IN"/>
              </w:rPr>
              <w:t>6.50</w:t>
            </w:r>
          </w:p>
        </w:tc>
      </w:tr>
      <w:tr w:rsidR="006F2D36" w14:paraId="007390B0" w14:textId="77777777" w:rsidTr="000C6129">
        <w:tc>
          <w:tcPr>
            <w:tcW w:w="4508" w:type="dxa"/>
            <w:vAlign w:val="center"/>
          </w:tcPr>
          <w:p w14:paraId="2F861D78" w14:textId="77777777" w:rsidR="006F2D36" w:rsidRPr="001D46B5" w:rsidRDefault="006F2D36" w:rsidP="006F2D36">
            <w:pPr>
              <w:rPr>
                <w:rFonts w:ascii="Times New Roman" w:eastAsia="Times New Roman" w:hAnsi="Times New Roman" w:cs="Times New Roman"/>
                <w:sz w:val="24"/>
                <w:szCs w:val="24"/>
                <w:lang w:eastAsia="en-IN"/>
              </w:rPr>
            </w:pPr>
            <w:r w:rsidRPr="001D46B5">
              <w:rPr>
                <w:rFonts w:ascii="Times New Roman" w:eastAsia="Times New Roman" w:hAnsi="Times New Roman" w:cs="Times New Roman"/>
                <w:sz w:val="24"/>
                <w:szCs w:val="24"/>
                <w:lang w:eastAsia="en-IN"/>
              </w:rPr>
              <w:t>July</w:t>
            </w:r>
          </w:p>
        </w:tc>
        <w:tc>
          <w:tcPr>
            <w:tcW w:w="4508" w:type="dxa"/>
            <w:vAlign w:val="center"/>
          </w:tcPr>
          <w:p w14:paraId="472563D4" w14:textId="77777777" w:rsidR="006F2D36" w:rsidRPr="001D46B5" w:rsidRDefault="006F2D36" w:rsidP="006F2D36">
            <w:pPr>
              <w:rPr>
                <w:rFonts w:ascii="Times New Roman" w:eastAsia="Times New Roman" w:hAnsi="Times New Roman" w:cs="Times New Roman"/>
                <w:sz w:val="24"/>
                <w:szCs w:val="24"/>
                <w:lang w:eastAsia="en-IN"/>
              </w:rPr>
            </w:pPr>
            <w:r w:rsidRPr="001D46B5">
              <w:rPr>
                <w:rFonts w:ascii="Times New Roman" w:eastAsia="Times New Roman" w:hAnsi="Times New Roman" w:cs="Times New Roman"/>
                <w:sz w:val="24"/>
                <w:szCs w:val="24"/>
                <w:lang w:eastAsia="en-IN"/>
              </w:rPr>
              <w:t>6.60</w:t>
            </w:r>
          </w:p>
        </w:tc>
      </w:tr>
      <w:tr w:rsidR="006F2D36" w14:paraId="0971AE6E" w14:textId="77777777" w:rsidTr="000C6129">
        <w:tc>
          <w:tcPr>
            <w:tcW w:w="4508" w:type="dxa"/>
            <w:vAlign w:val="center"/>
          </w:tcPr>
          <w:p w14:paraId="6C826D27" w14:textId="77777777" w:rsidR="006F2D36" w:rsidRPr="001D46B5" w:rsidRDefault="006F2D36" w:rsidP="006F2D36">
            <w:pPr>
              <w:rPr>
                <w:rFonts w:ascii="Times New Roman" w:eastAsia="Times New Roman" w:hAnsi="Times New Roman" w:cs="Times New Roman"/>
                <w:sz w:val="24"/>
                <w:szCs w:val="24"/>
                <w:lang w:eastAsia="en-IN"/>
              </w:rPr>
            </w:pPr>
            <w:r w:rsidRPr="001D46B5">
              <w:rPr>
                <w:rFonts w:ascii="Times New Roman" w:eastAsia="Times New Roman" w:hAnsi="Times New Roman" w:cs="Times New Roman"/>
                <w:sz w:val="24"/>
                <w:szCs w:val="24"/>
                <w:lang w:eastAsia="en-IN"/>
              </w:rPr>
              <w:t>August</w:t>
            </w:r>
          </w:p>
        </w:tc>
        <w:tc>
          <w:tcPr>
            <w:tcW w:w="4508" w:type="dxa"/>
            <w:vAlign w:val="center"/>
          </w:tcPr>
          <w:p w14:paraId="62A25A5E" w14:textId="77777777" w:rsidR="006F2D36" w:rsidRPr="001D46B5" w:rsidRDefault="006F2D36" w:rsidP="006F2D36">
            <w:pPr>
              <w:rPr>
                <w:rFonts w:ascii="Times New Roman" w:eastAsia="Times New Roman" w:hAnsi="Times New Roman" w:cs="Times New Roman"/>
                <w:sz w:val="24"/>
                <w:szCs w:val="24"/>
                <w:lang w:eastAsia="en-IN"/>
              </w:rPr>
            </w:pPr>
            <w:r w:rsidRPr="001D46B5">
              <w:rPr>
                <w:rFonts w:ascii="Times New Roman" w:eastAsia="Times New Roman" w:hAnsi="Times New Roman" w:cs="Times New Roman"/>
                <w:sz w:val="24"/>
                <w:szCs w:val="24"/>
                <w:lang w:eastAsia="en-IN"/>
              </w:rPr>
              <w:t>6.70</w:t>
            </w:r>
          </w:p>
        </w:tc>
      </w:tr>
      <w:tr w:rsidR="006F2D36" w14:paraId="4EF60F33" w14:textId="77777777" w:rsidTr="000C6129">
        <w:tc>
          <w:tcPr>
            <w:tcW w:w="4508" w:type="dxa"/>
            <w:vAlign w:val="center"/>
          </w:tcPr>
          <w:p w14:paraId="693D631D" w14:textId="77777777" w:rsidR="006F2D36" w:rsidRPr="001D46B5" w:rsidRDefault="006F2D36" w:rsidP="006F2D36">
            <w:pPr>
              <w:rPr>
                <w:rFonts w:ascii="Times New Roman" w:eastAsia="Times New Roman" w:hAnsi="Times New Roman" w:cs="Times New Roman"/>
                <w:sz w:val="24"/>
                <w:szCs w:val="24"/>
                <w:lang w:eastAsia="en-IN"/>
              </w:rPr>
            </w:pPr>
            <w:r w:rsidRPr="001D46B5">
              <w:rPr>
                <w:rFonts w:ascii="Times New Roman" w:eastAsia="Times New Roman" w:hAnsi="Times New Roman" w:cs="Times New Roman"/>
                <w:sz w:val="24"/>
                <w:szCs w:val="24"/>
                <w:lang w:eastAsia="en-IN"/>
              </w:rPr>
              <w:t>September</w:t>
            </w:r>
          </w:p>
        </w:tc>
        <w:tc>
          <w:tcPr>
            <w:tcW w:w="4508" w:type="dxa"/>
            <w:vAlign w:val="center"/>
          </w:tcPr>
          <w:p w14:paraId="73102F5E" w14:textId="77777777" w:rsidR="006F2D36" w:rsidRPr="001D46B5" w:rsidRDefault="006F2D36" w:rsidP="006F2D36">
            <w:pPr>
              <w:rPr>
                <w:rFonts w:ascii="Times New Roman" w:eastAsia="Times New Roman" w:hAnsi="Times New Roman" w:cs="Times New Roman"/>
                <w:sz w:val="24"/>
                <w:szCs w:val="24"/>
                <w:lang w:eastAsia="en-IN"/>
              </w:rPr>
            </w:pPr>
            <w:r w:rsidRPr="001D46B5">
              <w:rPr>
                <w:rFonts w:ascii="Times New Roman" w:eastAsia="Times New Roman" w:hAnsi="Times New Roman" w:cs="Times New Roman"/>
                <w:sz w:val="24"/>
                <w:szCs w:val="24"/>
                <w:lang w:eastAsia="en-IN"/>
              </w:rPr>
              <w:t>6.80</w:t>
            </w:r>
          </w:p>
        </w:tc>
      </w:tr>
      <w:tr w:rsidR="006F2D36" w14:paraId="5BFBD75F" w14:textId="77777777" w:rsidTr="000C6129">
        <w:tc>
          <w:tcPr>
            <w:tcW w:w="4508" w:type="dxa"/>
            <w:vAlign w:val="center"/>
          </w:tcPr>
          <w:p w14:paraId="50B200A7" w14:textId="77777777" w:rsidR="006F2D36" w:rsidRPr="001D46B5" w:rsidRDefault="006F2D36" w:rsidP="006F2D36">
            <w:pPr>
              <w:rPr>
                <w:rFonts w:ascii="Times New Roman" w:eastAsia="Times New Roman" w:hAnsi="Times New Roman" w:cs="Times New Roman"/>
                <w:sz w:val="24"/>
                <w:szCs w:val="24"/>
                <w:lang w:eastAsia="en-IN"/>
              </w:rPr>
            </w:pPr>
            <w:r w:rsidRPr="001D46B5">
              <w:rPr>
                <w:rFonts w:ascii="Times New Roman" w:eastAsia="Times New Roman" w:hAnsi="Times New Roman" w:cs="Times New Roman"/>
                <w:sz w:val="24"/>
                <w:szCs w:val="24"/>
                <w:lang w:eastAsia="en-IN"/>
              </w:rPr>
              <w:t>October</w:t>
            </w:r>
          </w:p>
        </w:tc>
        <w:tc>
          <w:tcPr>
            <w:tcW w:w="4508" w:type="dxa"/>
            <w:vAlign w:val="center"/>
          </w:tcPr>
          <w:p w14:paraId="57CFDA70" w14:textId="77777777" w:rsidR="006F2D36" w:rsidRPr="001D46B5" w:rsidRDefault="006F2D36" w:rsidP="006F2D36">
            <w:pPr>
              <w:rPr>
                <w:rFonts w:ascii="Times New Roman" w:eastAsia="Times New Roman" w:hAnsi="Times New Roman" w:cs="Times New Roman"/>
                <w:sz w:val="24"/>
                <w:szCs w:val="24"/>
                <w:lang w:eastAsia="en-IN"/>
              </w:rPr>
            </w:pPr>
            <w:r w:rsidRPr="001D46B5">
              <w:rPr>
                <w:rFonts w:ascii="Times New Roman" w:eastAsia="Times New Roman" w:hAnsi="Times New Roman" w:cs="Times New Roman"/>
                <w:sz w:val="24"/>
                <w:szCs w:val="24"/>
                <w:lang w:eastAsia="en-IN"/>
              </w:rPr>
              <w:t>6.90</w:t>
            </w:r>
          </w:p>
        </w:tc>
      </w:tr>
      <w:tr w:rsidR="006F2D36" w14:paraId="5CBAC1F1" w14:textId="77777777" w:rsidTr="000C6129">
        <w:tc>
          <w:tcPr>
            <w:tcW w:w="4508" w:type="dxa"/>
            <w:vAlign w:val="center"/>
          </w:tcPr>
          <w:p w14:paraId="67824BCC" w14:textId="77777777" w:rsidR="006F2D36" w:rsidRPr="001D46B5" w:rsidRDefault="006F2D36" w:rsidP="006F2D36">
            <w:pPr>
              <w:rPr>
                <w:rFonts w:ascii="Times New Roman" w:eastAsia="Times New Roman" w:hAnsi="Times New Roman" w:cs="Times New Roman"/>
                <w:sz w:val="24"/>
                <w:szCs w:val="24"/>
                <w:lang w:eastAsia="en-IN"/>
              </w:rPr>
            </w:pPr>
            <w:r w:rsidRPr="001D46B5">
              <w:rPr>
                <w:rFonts w:ascii="Times New Roman" w:eastAsia="Times New Roman" w:hAnsi="Times New Roman" w:cs="Times New Roman"/>
                <w:sz w:val="24"/>
                <w:szCs w:val="24"/>
                <w:lang w:eastAsia="en-IN"/>
              </w:rPr>
              <w:t>November</w:t>
            </w:r>
          </w:p>
        </w:tc>
        <w:tc>
          <w:tcPr>
            <w:tcW w:w="4508" w:type="dxa"/>
            <w:vAlign w:val="center"/>
          </w:tcPr>
          <w:p w14:paraId="0CA2CDB8" w14:textId="77777777" w:rsidR="006F2D36" w:rsidRPr="001D46B5" w:rsidRDefault="006F2D36" w:rsidP="006F2D36">
            <w:pPr>
              <w:rPr>
                <w:rFonts w:ascii="Times New Roman" w:eastAsia="Times New Roman" w:hAnsi="Times New Roman" w:cs="Times New Roman"/>
                <w:sz w:val="24"/>
                <w:szCs w:val="24"/>
                <w:lang w:eastAsia="en-IN"/>
              </w:rPr>
            </w:pPr>
            <w:r w:rsidRPr="001D46B5">
              <w:rPr>
                <w:rFonts w:ascii="Times New Roman" w:eastAsia="Times New Roman" w:hAnsi="Times New Roman" w:cs="Times New Roman"/>
                <w:sz w:val="24"/>
                <w:szCs w:val="24"/>
                <w:lang w:eastAsia="en-IN"/>
              </w:rPr>
              <w:t>7.00</w:t>
            </w:r>
          </w:p>
        </w:tc>
      </w:tr>
      <w:tr w:rsidR="006F2D36" w14:paraId="074FFF4D" w14:textId="77777777" w:rsidTr="000C6129">
        <w:tc>
          <w:tcPr>
            <w:tcW w:w="4508" w:type="dxa"/>
            <w:vAlign w:val="center"/>
          </w:tcPr>
          <w:p w14:paraId="03AF19F0" w14:textId="77777777" w:rsidR="006F2D36" w:rsidRPr="001D46B5" w:rsidRDefault="006F2D36" w:rsidP="006F2D36">
            <w:pPr>
              <w:rPr>
                <w:rFonts w:ascii="Times New Roman" w:eastAsia="Times New Roman" w:hAnsi="Times New Roman" w:cs="Times New Roman"/>
                <w:sz w:val="24"/>
                <w:szCs w:val="24"/>
                <w:lang w:eastAsia="en-IN"/>
              </w:rPr>
            </w:pPr>
            <w:r w:rsidRPr="001D46B5">
              <w:rPr>
                <w:rFonts w:ascii="Times New Roman" w:eastAsia="Times New Roman" w:hAnsi="Times New Roman" w:cs="Times New Roman"/>
                <w:sz w:val="24"/>
                <w:szCs w:val="24"/>
                <w:lang w:eastAsia="en-IN"/>
              </w:rPr>
              <w:t>December</w:t>
            </w:r>
          </w:p>
        </w:tc>
        <w:tc>
          <w:tcPr>
            <w:tcW w:w="4508" w:type="dxa"/>
            <w:vAlign w:val="center"/>
          </w:tcPr>
          <w:p w14:paraId="6F82C86D" w14:textId="77777777" w:rsidR="006F2D36" w:rsidRPr="001D46B5" w:rsidRDefault="006F2D36" w:rsidP="006F2D36">
            <w:pPr>
              <w:rPr>
                <w:rFonts w:ascii="Times New Roman" w:eastAsia="Times New Roman" w:hAnsi="Times New Roman" w:cs="Times New Roman"/>
                <w:sz w:val="24"/>
                <w:szCs w:val="24"/>
                <w:lang w:eastAsia="en-IN"/>
              </w:rPr>
            </w:pPr>
            <w:r w:rsidRPr="001D46B5">
              <w:rPr>
                <w:rFonts w:ascii="Times New Roman" w:eastAsia="Times New Roman" w:hAnsi="Times New Roman" w:cs="Times New Roman"/>
                <w:sz w:val="24"/>
                <w:szCs w:val="24"/>
                <w:lang w:eastAsia="en-IN"/>
              </w:rPr>
              <w:t>7.10</w:t>
            </w:r>
          </w:p>
        </w:tc>
      </w:tr>
    </w:tbl>
    <w:p w14:paraId="1C795184" w14:textId="64244238" w:rsidR="001D46B5" w:rsidRDefault="001D46B5" w:rsidP="001D46B5">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1D46B5">
        <w:rPr>
          <w:rFonts w:ascii="Times New Roman" w:eastAsia="Times New Roman" w:hAnsi="Times New Roman" w:cs="Times New Roman"/>
          <w:b/>
          <w:bCs/>
          <w:sz w:val="24"/>
          <w:szCs w:val="24"/>
          <w:lang w:eastAsia="en-IN"/>
        </w:rPr>
        <w:t>Total Consumer Deposits (2023)</w:t>
      </w:r>
    </w:p>
    <w:tbl>
      <w:tblPr>
        <w:tblStyle w:val="TableGrid"/>
        <w:tblW w:w="0" w:type="auto"/>
        <w:tblLook w:val="04A0" w:firstRow="1" w:lastRow="0" w:firstColumn="1" w:lastColumn="0" w:noHBand="0" w:noVBand="1"/>
      </w:tblPr>
      <w:tblGrid>
        <w:gridCol w:w="4508"/>
        <w:gridCol w:w="4508"/>
      </w:tblGrid>
      <w:tr w:rsidR="006F2D36" w14:paraId="1DC0894A" w14:textId="77777777" w:rsidTr="00E47E5C">
        <w:tc>
          <w:tcPr>
            <w:tcW w:w="4508" w:type="dxa"/>
            <w:vAlign w:val="center"/>
          </w:tcPr>
          <w:p w14:paraId="7539068C" w14:textId="77777777" w:rsidR="006F2D36" w:rsidRPr="001D46B5" w:rsidRDefault="006F2D36" w:rsidP="006F2D36">
            <w:pPr>
              <w:jc w:val="center"/>
              <w:rPr>
                <w:rFonts w:ascii="Times New Roman" w:eastAsia="Times New Roman" w:hAnsi="Times New Roman" w:cs="Times New Roman"/>
                <w:b/>
                <w:bCs/>
                <w:sz w:val="24"/>
                <w:szCs w:val="24"/>
                <w:lang w:eastAsia="en-IN"/>
              </w:rPr>
            </w:pPr>
            <w:r w:rsidRPr="001D46B5">
              <w:rPr>
                <w:rFonts w:ascii="Times New Roman" w:eastAsia="Times New Roman" w:hAnsi="Times New Roman" w:cs="Times New Roman"/>
                <w:b/>
                <w:bCs/>
                <w:sz w:val="24"/>
                <w:szCs w:val="24"/>
                <w:lang w:eastAsia="en-IN"/>
              </w:rPr>
              <w:t>Quarter</w:t>
            </w:r>
          </w:p>
        </w:tc>
        <w:tc>
          <w:tcPr>
            <w:tcW w:w="4508" w:type="dxa"/>
          </w:tcPr>
          <w:p w14:paraId="27BD21A5" w14:textId="77777777" w:rsidR="006F2D36" w:rsidRDefault="006F2D36" w:rsidP="006F2D36">
            <w:pPr>
              <w:spacing w:before="100" w:beforeAutospacing="1" w:after="100" w:afterAutospacing="1"/>
              <w:outlineLvl w:val="3"/>
              <w:rPr>
                <w:rFonts w:ascii="Times New Roman" w:eastAsia="Times New Roman" w:hAnsi="Times New Roman" w:cs="Times New Roman"/>
                <w:b/>
                <w:bCs/>
                <w:sz w:val="24"/>
                <w:szCs w:val="24"/>
                <w:lang w:eastAsia="en-IN"/>
              </w:rPr>
            </w:pPr>
            <w:r w:rsidRPr="001D46B5">
              <w:rPr>
                <w:rFonts w:ascii="Times New Roman" w:eastAsia="Times New Roman" w:hAnsi="Times New Roman" w:cs="Times New Roman"/>
                <w:b/>
                <w:bCs/>
                <w:sz w:val="24"/>
                <w:szCs w:val="24"/>
                <w:lang w:eastAsia="en-IN"/>
              </w:rPr>
              <w:t>Deposits ($ Trillion)</w:t>
            </w:r>
          </w:p>
        </w:tc>
      </w:tr>
      <w:tr w:rsidR="006F2D36" w14:paraId="4714FB4E" w14:textId="77777777" w:rsidTr="00932641">
        <w:tc>
          <w:tcPr>
            <w:tcW w:w="4508" w:type="dxa"/>
            <w:vAlign w:val="center"/>
          </w:tcPr>
          <w:p w14:paraId="7E5FA742" w14:textId="77777777" w:rsidR="006F2D36" w:rsidRPr="001D46B5" w:rsidRDefault="006F2D36" w:rsidP="006F2D36">
            <w:pPr>
              <w:rPr>
                <w:rFonts w:ascii="Times New Roman" w:eastAsia="Times New Roman" w:hAnsi="Times New Roman" w:cs="Times New Roman"/>
                <w:sz w:val="24"/>
                <w:szCs w:val="24"/>
                <w:lang w:eastAsia="en-IN"/>
              </w:rPr>
            </w:pPr>
            <w:r w:rsidRPr="001D46B5">
              <w:rPr>
                <w:rFonts w:ascii="Times New Roman" w:eastAsia="Times New Roman" w:hAnsi="Times New Roman" w:cs="Times New Roman"/>
                <w:sz w:val="24"/>
                <w:szCs w:val="24"/>
                <w:lang w:eastAsia="en-IN"/>
              </w:rPr>
              <w:t>Q1</w:t>
            </w:r>
          </w:p>
        </w:tc>
        <w:tc>
          <w:tcPr>
            <w:tcW w:w="4508" w:type="dxa"/>
            <w:vAlign w:val="center"/>
          </w:tcPr>
          <w:p w14:paraId="36A084D7" w14:textId="77777777" w:rsidR="006F2D36" w:rsidRPr="001D46B5" w:rsidRDefault="006F2D36" w:rsidP="006F2D36">
            <w:pPr>
              <w:rPr>
                <w:rFonts w:ascii="Times New Roman" w:eastAsia="Times New Roman" w:hAnsi="Times New Roman" w:cs="Times New Roman"/>
                <w:sz w:val="24"/>
                <w:szCs w:val="24"/>
                <w:lang w:eastAsia="en-IN"/>
              </w:rPr>
            </w:pPr>
            <w:r w:rsidRPr="001D46B5">
              <w:rPr>
                <w:rFonts w:ascii="Times New Roman" w:eastAsia="Times New Roman" w:hAnsi="Times New Roman" w:cs="Times New Roman"/>
                <w:sz w:val="24"/>
                <w:szCs w:val="24"/>
                <w:lang w:eastAsia="en-IN"/>
              </w:rPr>
              <w:t>15.0</w:t>
            </w:r>
          </w:p>
        </w:tc>
      </w:tr>
      <w:tr w:rsidR="006F2D36" w14:paraId="105CEC89" w14:textId="77777777" w:rsidTr="00932641">
        <w:tc>
          <w:tcPr>
            <w:tcW w:w="4508" w:type="dxa"/>
            <w:vAlign w:val="center"/>
          </w:tcPr>
          <w:p w14:paraId="0AF9B8F4" w14:textId="77777777" w:rsidR="006F2D36" w:rsidRPr="001D46B5" w:rsidRDefault="006F2D36" w:rsidP="006F2D36">
            <w:pPr>
              <w:rPr>
                <w:rFonts w:ascii="Times New Roman" w:eastAsia="Times New Roman" w:hAnsi="Times New Roman" w:cs="Times New Roman"/>
                <w:sz w:val="24"/>
                <w:szCs w:val="24"/>
                <w:lang w:eastAsia="en-IN"/>
              </w:rPr>
            </w:pPr>
            <w:r w:rsidRPr="001D46B5">
              <w:rPr>
                <w:rFonts w:ascii="Times New Roman" w:eastAsia="Times New Roman" w:hAnsi="Times New Roman" w:cs="Times New Roman"/>
                <w:sz w:val="24"/>
                <w:szCs w:val="24"/>
                <w:lang w:eastAsia="en-IN"/>
              </w:rPr>
              <w:t>Q2</w:t>
            </w:r>
          </w:p>
        </w:tc>
        <w:tc>
          <w:tcPr>
            <w:tcW w:w="4508" w:type="dxa"/>
            <w:vAlign w:val="center"/>
          </w:tcPr>
          <w:p w14:paraId="29392569" w14:textId="77777777" w:rsidR="006F2D36" w:rsidRPr="001D46B5" w:rsidRDefault="006F2D36" w:rsidP="006F2D36">
            <w:pPr>
              <w:rPr>
                <w:rFonts w:ascii="Times New Roman" w:eastAsia="Times New Roman" w:hAnsi="Times New Roman" w:cs="Times New Roman"/>
                <w:sz w:val="24"/>
                <w:szCs w:val="24"/>
                <w:lang w:eastAsia="en-IN"/>
              </w:rPr>
            </w:pPr>
            <w:r w:rsidRPr="001D46B5">
              <w:rPr>
                <w:rFonts w:ascii="Times New Roman" w:eastAsia="Times New Roman" w:hAnsi="Times New Roman" w:cs="Times New Roman"/>
                <w:sz w:val="24"/>
                <w:szCs w:val="24"/>
                <w:lang w:eastAsia="en-IN"/>
              </w:rPr>
              <w:t>15.5</w:t>
            </w:r>
          </w:p>
        </w:tc>
      </w:tr>
      <w:tr w:rsidR="006F2D36" w14:paraId="5AECA6F2" w14:textId="77777777" w:rsidTr="00932641">
        <w:tc>
          <w:tcPr>
            <w:tcW w:w="4508" w:type="dxa"/>
            <w:vAlign w:val="center"/>
          </w:tcPr>
          <w:p w14:paraId="57EB10DF" w14:textId="77777777" w:rsidR="006F2D36" w:rsidRPr="001D46B5" w:rsidRDefault="006F2D36" w:rsidP="006F2D36">
            <w:pPr>
              <w:rPr>
                <w:rFonts w:ascii="Times New Roman" w:eastAsia="Times New Roman" w:hAnsi="Times New Roman" w:cs="Times New Roman"/>
                <w:sz w:val="24"/>
                <w:szCs w:val="24"/>
                <w:lang w:eastAsia="en-IN"/>
              </w:rPr>
            </w:pPr>
            <w:r w:rsidRPr="001D46B5">
              <w:rPr>
                <w:rFonts w:ascii="Times New Roman" w:eastAsia="Times New Roman" w:hAnsi="Times New Roman" w:cs="Times New Roman"/>
                <w:sz w:val="24"/>
                <w:szCs w:val="24"/>
                <w:lang w:eastAsia="en-IN"/>
              </w:rPr>
              <w:t>Q3</w:t>
            </w:r>
          </w:p>
        </w:tc>
        <w:tc>
          <w:tcPr>
            <w:tcW w:w="4508" w:type="dxa"/>
            <w:vAlign w:val="center"/>
          </w:tcPr>
          <w:p w14:paraId="6FF31154" w14:textId="77777777" w:rsidR="006F2D36" w:rsidRPr="001D46B5" w:rsidRDefault="006F2D36" w:rsidP="006F2D36">
            <w:pPr>
              <w:rPr>
                <w:rFonts w:ascii="Times New Roman" w:eastAsia="Times New Roman" w:hAnsi="Times New Roman" w:cs="Times New Roman"/>
                <w:sz w:val="24"/>
                <w:szCs w:val="24"/>
                <w:lang w:eastAsia="en-IN"/>
              </w:rPr>
            </w:pPr>
            <w:r w:rsidRPr="001D46B5">
              <w:rPr>
                <w:rFonts w:ascii="Times New Roman" w:eastAsia="Times New Roman" w:hAnsi="Times New Roman" w:cs="Times New Roman"/>
                <w:sz w:val="24"/>
                <w:szCs w:val="24"/>
                <w:lang w:eastAsia="en-IN"/>
              </w:rPr>
              <w:t>16.0</w:t>
            </w:r>
          </w:p>
        </w:tc>
      </w:tr>
      <w:tr w:rsidR="006F2D36" w14:paraId="022AEA3A" w14:textId="77777777" w:rsidTr="00932641">
        <w:tc>
          <w:tcPr>
            <w:tcW w:w="4508" w:type="dxa"/>
            <w:vAlign w:val="center"/>
          </w:tcPr>
          <w:p w14:paraId="43CD6D40" w14:textId="77777777" w:rsidR="006F2D36" w:rsidRPr="001D46B5" w:rsidRDefault="006F2D36" w:rsidP="006F2D36">
            <w:pPr>
              <w:rPr>
                <w:rFonts w:ascii="Times New Roman" w:eastAsia="Times New Roman" w:hAnsi="Times New Roman" w:cs="Times New Roman"/>
                <w:sz w:val="24"/>
                <w:szCs w:val="24"/>
                <w:lang w:eastAsia="en-IN"/>
              </w:rPr>
            </w:pPr>
            <w:r w:rsidRPr="001D46B5">
              <w:rPr>
                <w:rFonts w:ascii="Times New Roman" w:eastAsia="Times New Roman" w:hAnsi="Times New Roman" w:cs="Times New Roman"/>
                <w:sz w:val="24"/>
                <w:szCs w:val="24"/>
                <w:lang w:eastAsia="en-IN"/>
              </w:rPr>
              <w:t>Q4</w:t>
            </w:r>
          </w:p>
        </w:tc>
        <w:tc>
          <w:tcPr>
            <w:tcW w:w="4508" w:type="dxa"/>
            <w:vAlign w:val="center"/>
          </w:tcPr>
          <w:p w14:paraId="3AE51A33" w14:textId="77777777" w:rsidR="006F2D36" w:rsidRPr="001D46B5" w:rsidRDefault="006F2D36" w:rsidP="006F2D36">
            <w:pPr>
              <w:rPr>
                <w:rFonts w:ascii="Times New Roman" w:eastAsia="Times New Roman" w:hAnsi="Times New Roman" w:cs="Times New Roman"/>
                <w:sz w:val="24"/>
                <w:szCs w:val="24"/>
                <w:lang w:eastAsia="en-IN"/>
              </w:rPr>
            </w:pPr>
            <w:r w:rsidRPr="001D46B5">
              <w:rPr>
                <w:rFonts w:ascii="Times New Roman" w:eastAsia="Times New Roman" w:hAnsi="Times New Roman" w:cs="Times New Roman"/>
                <w:sz w:val="24"/>
                <w:szCs w:val="24"/>
                <w:lang w:eastAsia="en-IN"/>
              </w:rPr>
              <w:t>16.5</w:t>
            </w:r>
          </w:p>
        </w:tc>
      </w:tr>
    </w:tbl>
    <w:p w14:paraId="37805EB7" w14:textId="77777777" w:rsidR="00177100" w:rsidRDefault="00177100" w:rsidP="001D46B5">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p>
    <w:p w14:paraId="1694C1A6" w14:textId="0771E58F" w:rsidR="001D46B5" w:rsidRDefault="001D46B5" w:rsidP="001D46B5">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1D46B5">
        <w:rPr>
          <w:rFonts w:ascii="Times New Roman" w:eastAsia="Times New Roman" w:hAnsi="Times New Roman" w:cs="Times New Roman"/>
          <w:b/>
          <w:bCs/>
          <w:sz w:val="24"/>
          <w:szCs w:val="24"/>
          <w:lang w:eastAsia="en-IN"/>
        </w:rPr>
        <w:lastRenderedPageBreak/>
        <w:t xml:space="preserve"> Percentage of Bank Customers Using Online and Mobile Banking (2023)</w:t>
      </w:r>
    </w:p>
    <w:tbl>
      <w:tblPr>
        <w:tblStyle w:val="TableGrid"/>
        <w:tblW w:w="0" w:type="auto"/>
        <w:tblLook w:val="04A0" w:firstRow="1" w:lastRow="0" w:firstColumn="1" w:lastColumn="0" w:noHBand="0" w:noVBand="1"/>
      </w:tblPr>
      <w:tblGrid>
        <w:gridCol w:w="3005"/>
        <w:gridCol w:w="3005"/>
        <w:gridCol w:w="3006"/>
      </w:tblGrid>
      <w:tr w:rsidR="006F2D36" w14:paraId="16058303" w14:textId="77777777" w:rsidTr="006F2D36">
        <w:tc>
          <w:tcPr>
            <w:tcW w:w="3005" w:type="dxa"/>
          </w:tcPr>
          <w:p w14:paraId="63D5C3CF" w14:textId="77777777" w:rsidR="006F2D36" w:rsidRDefault="006F2D36" w:rsidP="006F2D36">
            <w:pPr>
              <w:spacing w:before="100" w:beforeAutospacing="1" w:after="100" w:afterAutospacing="1"/>
              <w:jc w:val="center"/>
              <w:outlineLvl w:val="3"/>
              <w:rPr>
                <w:rFonts w:ascii="Times New Roman" w:eastAsia="Times New Roman" w:hAnsi="Times New Roman" w:cs="Times New Roman"/>
                <w:b/>
                <w:bCs/>
                <w:sz w:val="24"/>
                <w:szCs w:val="24"/>
                <w:lang w:eastAsia="en-IN"/>
              </w:rPr>
            </w:pPr>
            <w:r w:rsidRPr="001D46B5">
              <w:rPr>
                <w:rFonts w:ascii="Times New Roman" w:eastAsia="Times New Roman" w:hAnsi="Times New Roman" w:cs="Times New Roman"/>
                <w:b/>
                <w:bCs/>
                <w:sz w:val="24"/>
                <w:szCs w:val="24"/>
                <w:lang w:eastAsia="en-IN"/>
              </w:rPr>
              <w:t>Age Group</w:t>
            </w:r>
          </w:p>
        </w:tc>
        <w:tc>
          <w:tcPr>
            <w:tcW w:w="3005" w:type="dxa"/>
          </w:tcPr>
          <w:p w14:paraId="1AC5D97B" w14:textId="77777777" w:rsidR="006F2D36" w:rsidRDefault="006F2D36" w:rsidP="001D46B5">
            <w:pPr>
              <w:spacing w:before="100" w:beforeAutospacing="1" w:after="100" w:afterAutospacing="1"/>
              <w:outlineLvl w:val="3"/>
              <w:rPr>
                <w:rFonts w:ascii="Times New Roman" w:eastAsia="Times New Roman" w:hAnsi="Times New Roman" w:cs="Times New Roman"/>
                <w:b/>
                <w:bCs/>
                <w:sz w:val="24"/>
                <w:szCs w:val="24"/>
                <w:lang w:eastAsia="en-IN"/>
              </w:rPr>
            </w:pPr>
            <w:r w:rsidRPr="001D46B5">
              <w:rPr>
                <w:rFonts w:ascii="Times New Roman" w:eastAsia="Times New Roman" w:hAnsi="Times New Roman" w:cs="Times New Roman"/>
                <w:b/>
                <w:bCs/>
                <w:sz w:val="24"/>
                <w:szCs w:val="24"/>
                <w:lang w:eastAsia="en-IN"/>
              </w:rPr>
              <w:t>Online Banking (%)</w:t>
            </w:r>
          </w:p>
        </w:tc>
        <w:tc>
          <w:tcPr>
            <w:tcW w:w="3006" w:type="dxa"/>
          </w:tcPr>
          <w:p w14:paraId="33351222" w14:textId="77777777" w:rsidR="006F2D36" w:rsidRDefault="006F2D36" w:rsidP="001D46B5">
            <w:pPr>
              <w:spacing w:before="100" w:beforeAutospacing="1" w:after="100" w:afterAutospacing="1"/>
              <w:outlineLvl w:val="3"/>
              <w:rPr>
                <w:rFonts w:ascii="Times New Roman" w:eastAsia="Times New Roman" w:hAnsi="Times New Roman" w:cs="Times New Roman"/>
                <w:b/>
                <w:bCs/>
                <w:sz w:val="24"/>
                <w:szCs w:val="24"/>
                <w:lang w:eastAsia="en-IN"/>
              </w:rPr>
            </w:pPr>
            <w:r w:rsidRPr="001D46B5">
              <w:rPr>
                <w:rFonts w:ascii="Times New Roman" w:eastAsia="Times New Roman" w:hAnsi="Times New Roman" w:cs="Times New Roman"/>
                <w:b/>
                <w:bCs/>
                <w:sz w:val="24"/>
                <w:szCs w:val="24"/>
                <w:lang w:eastAsia="en-IN"/>
              </w:rPr>
              <w:t>Mobile Banking (%)</w:t>
            </w:r>
          </w:p>
        </w:tc>
      </w:tr>
      <w:tr w:rsidR="006F2D36" w14:paraId="6192F85B" w14:textId="77777777" w:rsidTr="006D30A8">
        <w:tc>
          <w:tcPr>
            <w:tcW w:w="3005" w:type="dxa"/>
            <w:vAlign w:val="center"/>
          </w:tcPr>
          <w:p w14:paraId="6C7FC9B4" w14:textId="77777777" w:rsidR="006F2D36" w:rsidRPr="001D46B5" w:rsidRDefault="006F2D36" w:rsidP="006F2D36">
            <w:pPr>
              <w:rPr>
                <w:rFonts w:ascii="Times New Roman" w:eastAsia="Times New Roman" w:hAnsi="Times New Roman" w:cs="Times New Roman"/>
                <w:sz w:val="24"/>
                <w:szCs w:val="24"/>
                <w:lang w:eastAsia="en-IN"/>
              </w:rPr>
            </w:pPr>
            <w:r w:rsidRPr="001D46B5">
              <w:rPr>
                <w:rFonts w:ascii="Times New Roman" w:eastAsia="Times New Roman" w:hAnsi="Times New Roman" w:cs="Times New Roman"/>
                <w:sz w:val="24"/>
                <w:szCs w:val="24"/>
                <w:lang w:eastAsia="en-IN"/>
              </w:rPr>
              <w:t>18-24</w:t>
            </w:r>
          </w:p>
        </w:tc>
        <w:tc>
          <w:tcPr>
            <w:tcW w:w="3005" w:type="dxa"/>
            <w:vAlign w:val="center"/>
          </w:tcPr>
          <w:p w14:paraId="7D69E065" w14:textId="77777777" w:rsidR="006F2D36" w:rsidRPr="001D46B5" w:rsidRDefault="006F2D36" w:rsidP="006F2D36">
            <w:pPr>
              <w:rPr>
                <w:rFonts w:ascii="Times New Roman" w:eastAsia="Times New Roman" w:hAnsi="Times New Roman" w:cs="Times New Roman"/>
                <w:sz w:val="24"/>
                <w:szCs w:val="24"/>
                <w:lang w:eastAsia="en-IN"/>
              </w:rPr>
            </w:pPr>
            <w:r w:rsidRPr="001D46B5">
              <w:rPr>
                <w:rFonts w:ascii="Times New Roman" w:eastAsia="Times New Roman" w:hAnsi="Times New Roman" w:cs="Times New Roman"/>
                <w:sz w:val="24"/>
                <w:szCs w:val="24"/>
                <w:lang w:eastAsia="en-IN"/>
              </w:rPr>
              <w:t>80</w:t>
            </w:r>
          </w:p>
        </w:tc>
        <w:tc>
          <w:tcPr>
            <w:tcW w:w="3006" w:type="dxa"/>
            <w:vAlign w:val="center"/>
          </w:tcPr>
          <w:p w14:paraId="61D27302" w14:textId="77777777" w:rsidR="006F2D36" w:rsidRPr="001D46B5" w:rsidRDefault="006F2D36" w:rsidP="006F2D36">
            <w:pPr>
              <w:rPr>
                <w:rFonts w:ascii="Times New Roman" w:eastAsia="Times New Roman" w:hAnsi="Times New Roman" w:cs="Times New Roman"/>
                <w:sz w:val="24"/>
                <w:szCs w:val="24"/>
                <w:lang w:eastAsia="en-IN"/>
              </w:rPr>
            </w:pPr>
            <w:r w:rsidRPr="001D46B5">
              <w:rPr>
                <w:rFonts w:ascii="Times New Roman" w:eastAsia="Times New Roman" w:hAnsi="Times New Roman" w:cs="Times New Roman"/>
                <w:sz w:val="24"/>
                <w:szCs w:val="24"/>
                <w:lang w:eastAsia="en-IN"/>
              </w:rPr>
              <w:t>90</w:t>
            </w:r>
          </w:p>
        </w:tc>
      </w:tr>
      <w:tr w:rsidR="006F2D36" w14:paraId="33F6BE37" w14:textId="77777777" w:rsidTr="006D30A8">
        <w:tc>
          <w:tcPr>
            <w:tcW w:w="3005" w:type="dxa"/>
            <w:vAlign w:val="center"/>
          </w:tcPr>
          <w:p w14:paraId="5E4E92B9" w14:textId="77777777" w:rsidR="006F2D36" w:rsidRPr="001D46B5" w:rsidRDefault="006F2D36" w:rsidP="006F2D36">
            <w:pPr>
              <w:rPr>
                <w:rFonts w:ascii="Times New Roman" w:eastAsia="Times New Roman" w:hAnsi="Times New Roman" w:cs="Times New Roman"/>
                <w:sz w:val="24"/>
                <w:szCs w:val="24"/>
                <w:lang w:eastAsia="en-IN"/>
              </w:rPr>
            </w:pPr>
            <w:r w:rsidRPr="001D46B5">
              <w:rPr>
                <w:rFonts w:ascii="Times New Roman" w:eastAsia="Times New Roman" w:hAnsi="Times New Roman" w:cs="Times New Roman"/>
                <w:sz w:val="24"/>
                <w:szCs w:val="24"/>
                <w:lang w:eastAsia="en-IN"/>
              </w:rPr>
              <w:t>25-34</w:t>
            </w:r>
          </w:p>
        </w:tc>
        <w:tc>
          <w:tcPr>
            <w:tcW w:w="3005" w:type="dxa"/>
            <w:vAlign w:val="center"/>
          </w:tcPr>
          <w:p w14:paraId="075FB0FB" w14:textId="77777777" w:rsidR="006F2D36" w:rsidRPr="001D46B5" w:rsidRDefault="006F2D36" w:rsidP="006F2D36">
            <w:pPr>
              <w:rPr>
                <w:rFonts w:ascii="Times New Roman" w:eastAsia="Times New Roman" w:hAnsi="Times New Roman" w:cs="Times New Roman"/>
                <w:sz w:val="24"/>
                <w:szCs w:val="24"/>
                <w:lang w:eastAsia="en-IN"/>
              </w:rPr>
            </w:pPr>
            <w:r w:rsidRPr="001D46B5">
              <w:rPr>
                <w:rFonts w:ascii="Times New Roman" w:eastAsia="Times New Roman" w:hAnsi="Times New Roman" w:cs="Times New Roman"/>
                <w:sz w:val="24"/>
                <w:szCs w:val="24"/>
                <w:lang w:eastAsia="en-IN"/>
              </w:rPr>
              <w:t>85</w:t>
            </w:r>
          </w:p>
        </w:tc>
        <w:tc>
          <w:tcPr>
            <w:tcW w:w="3006" w:type="dxa"/>
            <w:vAlign w:val="center"/>
          </w:tcPr>
          <w:p w14:paraId="7D1544A1" w14:textId="77777777" w:rsidR="006F2D36" w:rsidRPr="001D46B5" w:rsidRDefault="006F2D36" w:rsidP="006F2D36">
            <w:pPr>
              <w:rPr>
                <w:rFonts w:ascii="Times New Roman" w:eastAsia="Times New Roman" w:hAnsi="Times New Roman" w:cs="Times New Roman"/>
                <w:sz w:val="24"/>
                <w:szCs w:val="24"/>
                <w:lang w:eastAsia="en-IN"/>
              </w:rPr>
            </w:pPr>
            <w:r w:rsidRPr="001D46B5">
              <w:rPr>
                <w:rFonts w:ascii="Times New Roman" w:eastAsia="Times New Roman" w:hAnsi="Times New Roman" w:cs="Times New Roman"/>
                <w:sz w:val="24"/>
                <w:szCs w:val="24"/>
                <w:lang w:eastAsia="en-IN"/>
              </w:rPr>
              <w:t>88</w:t>
            </w:r>
          </w:p>
        </w:tc>
      </w:tr>
      <w:tr w:rsidR="006F2D36" w14:paraId="21DB17B5" w14:textId="77777777" w:rsidTr="006D30A8">
        <w:tc>
          <w:tcPr>
            <w:tcW w:w="3005" w:type="dxa"/>
            <w:vAlign w:val="center"/>
          </w:tcPr>
          <w:p w14:paraId="1BEC02D9" w14:textId="77777777" w:rsidR="006F2D36" w:rsidRPr="001D46B5" w:rsidRDefault="006F2D36" w:rsidP="006F2D36">
            <w:pPr>
              <w:rPr>
                <w:rFonts w:ascii="Times New Roman" w:eastAsia="Times New Roman" w:hAnsi="Times New Roman" w:cs="Times New Roman"/>
                <w:sz w:val="24"/>
                <w:szCs w:val="24"/>
                <w:lang w:eastAsia="en-IN"/>
              </w:rPr>
            </w:pPr>
            <w:r w:rsidRPr="001D46B5">
              <w:rPr>
                <w:rFonts w:ascii="Times New Roman" w:eastAsia="Times New Roman" w:hAnsi="Times New Roman" w:cs="Times New Roman"/>
                <w:sz w:val="24"/>
                <w:szCs w:val="24"/>
                <w:lang w:eastAsia="en-IN"/>
              </w:rPr>
              <w:t>35-44</w:t>
            </w:r>
          </w:p>
        </w:tc>
        <w:tc>
          <w:tcPr>
            <w:tcW w:w="3005" w:type="dxa"/>
            <w:vAlign w:val="center"/>
          </w:tcPr>
          <w:p w14:paraId="48360185" w14:textId="77777777" w:rsidR="006F2D36" w:rsidRPr="001D46B5" w:rsidRDefault="006F2D36" w:rsidP="006F2D36">
            <w:pPr>
              <w:rPr>
                <w:rFonts w:ascii="Times New Roman" w:eastAsia="Times New Roman" w:hAnsi="Times New Roman" w:cs="Times New Roman"/>
                <w:sz w:val="24"/>
                <w:szCs w:val="24"/>
                <w:lang w:eastAsia="en-IN"/>
              </w:rPr>
            </w:pPr>
            <w:r w:rsidRPr="001D46B5">
              <w:rPr>
                <w:rFonts w:ascii="Times New Roman" w:eastAsia="Times New Roman" w:hAnsi="Times New Roman" w:cs="Times New Roman"/>
                <w:sz w:val="24"/>
                <w:szCs w:val="24"/>
                <w:lang w:eastAsia="en-IN"/>
              </w:rPr>
              <w:t>75</w:t>
            </w:r>
          </w:p>
        </w:tc>
        <w:tc>
          <w:tcPr>
            <w:tcW w:w="3006" w:type="dxa"/>
            <w:vAlign w:val="center"/>
          </w:tcPr>
          <w:p w14:paraId="5AE5181E" w14:textId="77777777" w:rsidR="006F2D36" w:rsidRPr="001D46B5" w:rsidRDefault="006F2D36" w:rsidP="006F2D36">
            <w:pPr>
              <w:rPr>
                <w:rFonts w:ascii="Times New Roman" w:eastAsia="Times New Roman" w:hAnsi="Times New Roman" w:cs="Times New Roman"/>
                <w:sz w:val="24"/>
                <w:szCs w:val="24"/>
                <w:lang w:eastAsia="en-IN"/>
              </w:rPr>
            </w:pPr>
            <w:r w:rsidRPr="001D46B5">
              <w:rPr>
                <w:rFonts w:ascii="Times New Roman" w:eastAsia="Times New Roman" w:hAnsi="Times New Roman" w:cs="Times New Roman"/>
                <w:sz w:val="24"/>
                <w:szCs w:val="24"/>
                <w:lang w:eastAsia="en-IN"/>
              </w:rPr>
              <w:t>70</w:t>
            </w:r>
          </w:p>
        </w:tc>
      </w:tr>
      <w:tr w:rsidR="006F2D36" w14:paraId="7E7D010E" w14:textId="77777777" w:rsidTr="006D30A8">
        <w:tc>
          <w:tcPr>
            <w:tcW w:w="3005" w:type="dxa"/>
            <w:vAlign w:val="center"/>
          </w:tcPr>
          <w:p w14:paraId="6D29484D" w14:textId="77777777" w:rsidR="006F2D36" w:rsidRPr="001D46B5" w:rsidRDefault="006F2D36" w:rsidP="006F2D36">
            <w:pPr>
              <w:rPr>
                <w:rFonts w:ascii="Times New Roman" w:eastAsia="Times New Roman" w:hAnsi="Times New Roman" w:cs="Times New Roman"/>
                <w:sz w:val="24"/>
                <w:szCs w:val="24"/>
                <w:lang w:eastAsia="en-IN"/>
              </w:rPr>
            </w:pPr>
            <w:r w:rsidRPr="001D46B5">
              <w:rPr>
                <w:rFonts w:ascii="Times New Roman" w:eastAsia="Times New Roman" w:hAnsi="Times New Roman" w:cs="Times New Roman"/>
                <w:sz w:val="24"/>
                <w:szCs w:val="24"/>
                <w:lang w:eastAsia="en-IN"/>
              </w:rPr>
              <w:t>45-54</w:t>
            </w:r>
          </w:p>
        </w:tc>
        <w:tc>
          <w:tcPr>
            <w:tcW w:w="3005" w:type="dxa"/>
            <w:vAlign w:val="center"/>
          </w:tcPr>
          <w:p w14:paraId="63C7B219" w14:textId="77777777" w:rsidR="006F2D36" w:rsidRPr="001D46B5" w:rsidRDefault="006F2D36" w:rsidP="006F2D36">
            <w:pPr>
              <w:rPr>
                <w:rFonts w:ascii="Times New Roman" w:eastAsia="Times New Roman" w:hAnsi="Times New Roman" w:cs="Times New Roman"/>
                <w:sz w:val="24"/>
                <w:szCs w:val="24"/>
                <w:lang w:eastAsia="en-IN"/>
              </w:rPr>
            </w:pPr>
            <w:r w:rsidRPr="001D46B5">
              <w:rPr>
                <w:rFonts w:ascii="Times New Roman" w:eastAsia="Times New Roman" w:hAnsi="Times New Roman" w:cs="Times New Roman"/>
                <w:sz w:val="24"/>
                <w:szCs w:val="24"/>
                <w:lang w:eastAsia="en-IN"/>
              </w:rPr>
              <w:t>65</w:t>
            </w:r>
          </w:p>
        </w:tc>
        <w:tc>
          <w:tcPr>
            <w:tcW w:w="3006" w:type="dxa"/>
            <w:vAlign w:val="center"/>
          </w:tcPr>
          <w:p w14:paraId="7F085A4C" w14:textId="77777777" w:rsidR="006F2D36" w:rsidRPr="001D46B5" w:rsidRDefault="006F2D36" w:rsidP="006F2D36">
            <w:pPr>
              <w:rPr>
                <w:rFonts w:ascii="Times New Roman" w:eastAsia="Times New Roman" w:hAnsi="Times New Roman" w:cs="Times New Roman"/>
                <w:sz w:val="24"/>
                <w:szCs w:val="24"/>
                <w:lang w:eastAsia="en-IN"/>
              </w:rPr>
            </w:pPr>
            <w:r w:rsidRPr="001D46B5">
              <w:rPr>
                <w:rFonts w:ascii="Times New Roman" w:eastAsia="Times New Roman" w:hAnsi="Times New Roman" w:cs="Times New Roman"/>
                <w:sz w:val="24"/>
                <w:szCs w:val="24"/>
                <w:lang w:eastAsia="en-IN"/>
              </w:rPr>
              <w:t>55</w:t>
            </w:r>
          </w:p>
        </w:tc>
      </w:tr>
      <w:tr w:rsidR="006F2D36" w14:paraId="230FCE99" w14:textId="77777777" w:rsidTr="006D30A8">
        <w:tc>
          <w:tcPr>
            <w:tcW w:w="3005" w:type="dxa"/>
            <w:vAlign w:val="center"/>
          </w:tcPr>
          <w:p w14:paraId="1C9E6236" w14:textId="77777777" w:rsidR="006F2D36" w:rsidRPr="001D46B5" w:rsidRDefault="006F2D36" w:rsidP="006F2D36">
            <w:pPr>
              <w:rPr>
                <w:rFonts w:ascii="Times New Roman" w:eastAsia="Times New Roman" w:hAnsi="Times New Roman" w:cs="Times New Roman"/>
                <w:sz w:val="24"/>
                <w:szCs w:val="24"/>
                <w:lang w:eastAsia="en-IN"/>
              </w:rPr>
            </w:pPr>
            <w:r w:rsidRPr="001D46B5">
              <w:rPr>
                <w:rFonts w:ascii="Times New Roman" w:eastAsia="Times New Roman" w:hAnsi="Times New Roman" w:cs="Times New Roman"/>
                <w:sz w:val="24"/>
                <w:szCs w:val="24"/>
                <w:lang w:eastAsia="en-IN"/>
              </w:rPr>
              <w:t>55-64</w:t>
            </w:r>
          </w:p>
        </w:tc>
        <w:tc>
          <w:tcPr>
            <w:tcW w:w="3005" w:type="dxa"/>
            <w:vAlign w:val="center"/>
          </w:tcPr>
          <w:p w14:paraId="032A694B" w14:textId="77777777" w:rsidR="006F2D36" w:rsidRPr="001D46B5" w:rsidRDefault="006F2D36" w:rsidP="006F2D36">
            <w:pPr>
              <w:rPr>
                <w:rFonts w:ascii="Times New Roman" w:eastAsia="Times New Roman" w:hAnsi="Times New Roman" w:cs="Times New Roman"/>
                <w:sz w:val="24"/>
                <w:szCs w:val="24"/>
                <w:lang w:eastAsia="en-IN"/>
              </w:rPr>
            </w:pPr>
            <w:r w:rsidRPr="001D46B5">
              <w:rPr>
                <w:rFonts w:ascii="Times New Roman" w:eastAsia="Times New Roman" w:hAnsi="Times New Roman" w:cs="Times New Roman"/>
                <w:sz w:val="24"/>
                <w:szCs w:val="24"/>
                <w:lang w:eastAsia="en-IN"/>
              </w:rPr>
              <w:t>60</w:t>
            </w:r>
          </w:p>
        </w:tc>
        <w:tc>
          <w:tcPr>
            <w:tcW w:w="3006" w:type="dxa"/>
            <w:vAlign w:val="center"/>
          </w:tcPr>
          <w:p w14:paraId="0D161427" w14:textId="77777777" w:rsidR="006F2D36" w:rsidRPr="001D46B5" w:rsidRDefault="006F2D36" w:rsidP="006F2D36">
            <w:pPr>
              <w:rPr>
                <w:rFonts w:ascii="Times New Roman" w:eastAsia="Times New Roman" w:hAnsi="Times New Roman" w:cs="Times New Roman"/>
                <w:sz w:val="24"/>
                <w:szCs w:val="24"/>
                <w:lang w:eastAsia="en-IN"/>
              </w:rPr>
            </w:pPr>
            <w:r w:rsidRPr="001D46B5">
              <w:rPr>
                <w:rFonts w:ascii="Times New Roman" w:eastAsia="Times New Roman" w:hAnsi="Times New Roman" w:cs="Times New Roman"/>
                <w:sz w:val="24"/>
                <w:szCs w:val="24"/>
                <w:lang w:eastAsia="en-IN"/>
              </w:rPr>
              <w:t>45</w:t>
            </w:r>
          </w:p>
        </w:tc>
      </w:tr>
      <w:tr w:rsidR="006F2D36" w14:paraId="30FFE1B3" w14:textId="77777777" w:rsidTr="006D30A8">
        <w:tc>
          <w:tcPr>
            <w:tcW w:w="3005" w:type="dxa"/>
            <w:vAlign w:val="center"/>
          </w:tcPr>
          <w:p w14:paraId="3075976B" w14:textId="77777777" w:rsidR="006F2D36" w:rsidRPr="001D46B5" w:rsidRDefault="006F2D36" w:rsidP="006F2D36">
            <w:pPr>
              <w:rPr>
                <w:rFonts w:ascii="Times New Roman" w:eastAsia="Times New Roman" w:hAnsi="Times New Roman" w:cs="Times New Roman"/>
                <w:sz w:val="24"/>
                <w:szCs w:val="24"/>
                <w:lang w:eastAsia="en-IN"/>
              </w:rPr>
            </w:pPr>
            <w:r w:rsidRPr="001D46B5">
              <w:rPr>
                <w:rFonts w:ascii="Times New Roman" w:eastAsia="Times New Roman" w:hAnsi="Times New Roman" w:cs="Times New Roman"/>
                <w:sz w:val="24"/>
                <w:szCs w:val="24"/>
                <w:lang w:eastAsia="en-IN"/>
              </w:rPr>
              <w:t>65+</w:t>
            </w:r>
          </w:p>
        </w:tc>
        <w:tc>
          <w:tcPr>
            <w:tcW w:w="3005" w:type="dxa"/>
            <w:vAlign w:val="center"/>
          </w:tcPr>
          <w:p w14:paraId="2A3EB848" w14:textId="77777777" w:rsidR="006F2D36" w:rsidRPr="001D46B5" w:rsidRDefault="006F2D36" w:rsidP="006F2D36">
            <w:pPr>
              <w:rPr>
                <w:rFonts w:ascii="Times New Roman" w:eastAsia="Times New Roman" w:hAnsi="Times New Roman" w:cs="Times New Roman"/>
                <w:sz w:val="24"/>
                <w:szCs w:val="24"/>
                <w:lang w:eastAsia="en-IN"/>
              </w:rPr>
            </w:pPr>
            <w:r w:rsidRPr="001D46B5">
              <w:rPr>
                <w:rFonts w:ascii="Times New Roman" w:eastAsia="Times New Roman" w:hAnsi="Times New Roman" w:cs="Times New Roman"/>
                <w:sz w:val="24"/>
                <w:szCs w:val="24"/>
                <w:lang w:eastAsia="en-IN"/>
              </w:rPr>
              <w:t>50</w:t>
            </w:r>
          </w:p>
        </w:tc>
        <w:tc>
          <w:tcPr>
            <w:tcW w:w="3006" w:type="dxa"/>
            <w:vAlign w:val="center"/>
          </w:tcPr>
          <w:p w14:paraId="43305A2A" w14:textId="0C6B6D34" w:rsidR="00177100" w:rsidRPr="001D46B5" w:rsidRDefault="006F2D36" w:rsidP="006F2D36">
            <w:pPr>
              <w:rPr>
                <w:rFonts w:ascii="Times New Roman" w:eastAsia="Times New Roman" w:hAnsi="Times New Roman" w:cs="Times New Roman"/>
                <w:sz w:val="24"/>
                <w:szCs w:val="24"/>
                <w:lang w:eastAsia="en-IN"/>
              </w:rPr>
            </w:pPr>
            <w:r w:rsidRPr="001D46B5">
              <w:rPr>
                <w:rFonts w:ascii="Times New Roman" w:eastAsia="Times New Roman" w:hAnsi="Times New Roman" w:cs="Times New Roman"/>
                <w:sz w:val="24"/>
                <w:szCs w:val="24"/>
                <w:lang w:eastAsia="en-IN"/>
              </w:rPr>
              <w:t>30</w:t>
            </w:r>
          </w:p>
        </w:tc>
      </w:tr>
    </w:tbl>
    <w:p w14:paraId="6382697D" w14:textId="7579435A" w:rsidR="006F2D36" w:rsidRPr="001D46B5" w:rsidRDefault="00177100" w:rsidP="001D46B5">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Pr>
          <w:noProof/>
        </w:rPr>
        <w:drawing>
          <wp:inline distT="0" distB="0" distL="0" distR="0" wp14:anchorId="4819CF54" wp14:editId="21339844">
            <wp:extent cx="4572000" cy="2743200"/>
            <wp:effectExtent l="0" t="0" r="0" b="0"/>
            <wp:docPr id="3" name="Chart 3">
              <a:extLst xmlns:a="http://schemas.openxmlformats.org/drawingml/2006/main">
                <a:ext uri="{FF2B5EF4-FFF2-40B4-BE49-F238E27FC236}">
                  <a16:creationId xmlns:a16="http://schemas.microsoft.com/office/drawing/2014/main" id="{2695F81A-D7D8-4031-9663-0CBE554DCDD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sectPr w:rsidR="006F2D36" w:rsidRPr="001D46B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3641DBF" w14:textId="77777777" w:rsidR="00705323" w:rsidRDefault="00705323" w:rsidP="00177100">
      <w:pPr>
        <w:spacing w:after="0" w:line="240" w:lineRule="auto"/>
      </w:pPr>
      <w:r>
        <w:separator/>
      </w:r>
    </w:p>
  </w:endnote>
  <w:endnote w:type="continuationSeparator" w:id="0">
    <w:p w14:paraId="75FDE9CD" w14:textId="77777777" w:rsidR="00705323" w:rsidRDefault="00705323" w:rsidP="001771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9D7F89E" w14:textId="77777777" w:rsidR="00705323" w:rsidRDefault="00705323" w:rsidP="00177100">
      <w:pPr>
        <w:spacing w:after="0" w:line="240" w:lineRule="auto"/>
      </w:pPr>
      <w:r>
        <w:separator/>
      </w:r>
    </w:p>
  </w:footnote>
  <w:footnote w:type="continuationSeparator" w:id="0">
    <w:p w14:paraId="370EE458" w14:textId="77777777" w:rsidR="00705323" w:rsidRDefault="00705323" w:rsidP="0017710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0B02F27"/>
    <w:multiLevelType w:val="multilevel"/>
    <w:tmpl w:val="426A2A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30617EC"/>
    <w:multiLevelType w:val="multilevel"/>
    <w:tmpl w:val="CB563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E7D11EA"/>
    <w:multiLevelType w:val="multilevel"/>
    <w:tmpl w:val="D65E4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48027E2"/>
    <w:multiLevelType w:val="multilevel"/>
    <w:tmpl w:val="6A50FC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46B5"/>
    <w:rsid w:val="00177100"/>
    <w:rsid w:val="001D46B5"/>
    <w:rsid w:val="004348E7"/>
    <w:rsid w:val="005528AF"/>
    <w:rsid w:val="005B5895"/>
    <w:rsid w:val="0061269D"/>
    <w:rsid w:val="006F2D36"/>
    <w:rsid w:val="00705323"/>
    <w:rsid w:val="00B6326B"/>
    <w:rsid w:val="00BC282A"/>
    <w:rsid w:val="00CF1AE2"/>
    <w:rsid w:val="00D9234A"/>
    <w:rsid w:val="00E12B11"/>
    <w:rsid w:val="00F2026A"/>
    <w:rsid w:val="00F2628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B43B4F"/>
  <w15:chartTrackingRefBased/>
  <w15:docId w15:val="{1081DF9C-9346-4C07-B250-6215DDE287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1D46B5"/>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1D46B5"/>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D46B5"/>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1D46B5"/>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1D46B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1D46B5"/>
    <w:rPr>
      <w:b/>
      <w:bCs/>
    </w:rPr>
  </w:style>
  <w:style w:type="table" w:styleId="TableGrid">
    <w:name w:val="Table Grid"/>
    <w:basedOn w:val="TableNormal"/>
    <w:uiPriority w:val="39"/>
    <w:rsid w:val="00CF1A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77100"/>
    <w:pPr>
      <w:tabs>
        <w:tab w:val="center" w:pos="4680"/>
        <w:tab w:val="right" w:pos="9360"/>
      </w:tabs>
      <w:spacing w:after="0" w:line="240" w:lineRule="auto"/>
    </w:pPr>
  </w:style>
  <w:style w:type="character" w:customStyle="1" w:styleId="HeaderChar">
    <w:name w:val="Header Char"/>
    <w:basedOn w:val="DefaultParagraphFont"/>
    <w:link w:val="Header"/>
    <w:uiPriority w:val="99"/>
    <w:rsid w:val="00177100"/>
  </w:style>
  <w:style w:type="paragraph" w:styleId="Footer">
    <w:name w:val="footer"/>
    <w:basedOn w:val="Normal"/>
    <w:link w:val="FooterChar"/>
    <w:uiPriority w:val="99"/>
    <w:unhideWhenUsed/>
    <w:rsid w:val="00177100"/>
    <w:pPr>
      <w:tabs>
        <w:tab w:val="center" w:pos="4680"/>
        <w:tab w:val="right" w:pos="9360"/>
      </w:tabs>
      <w:spacing w:after="0" w:line="240" w:lineRule="auto"/>
    </w:pPr>
  </w:style>
  <w:style w:type="character" w:customStyle="1" w:styleId="FooterChar">
    <w:name w:val="Footer Char"/>
    <w:basedOn w:val="DefaultParagraphFont"/>
    <w:link w:val="Footer"/>
    <w:uiPriority w:val="99"/>
    <w:rsid w:val="001771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7908826">
      <w:bodyDiv w:val="1"/>
      <w:marLeft w:val="0"/>
      <w:marRight w:val="0"/>
      <w:marTop w:val="0"/>
      <w:marBottom w:val="0"/>
      <w:divBdr>
        <w:top w:val="none" w:sz="0" w:space="0" w:color="auto"/>
        <w:left w:val="none" w:sz="0" w:space="0" w:color="auto"/>
        <w:bottom w:val="none" w:sz="0" w:space="0" w:color="auto"/>
        <w:right w:val="none" w:sz="0" w:space="0" w:color="auto"/>
      </w:divBdr>
    </w:div>
    <w:div w:id="399448043">
      <w:bodyDiv w:val="1"/>
      <w:marLeft w:val="0"/>
      <w:marRight w:val="0"/>
      <w:marTop w:val="0"/>
      <w:marBottom w:val="0"/>
      <w:divBdr>
        <w:top w:val="none" w:sz="0" w:space="0" w:color="auto"/>
        <w:left w:val="none" w:sz="0" w:space="0" w:color="auto"/>
        <w:bottom w:val="none" w:sz="0" w:space="0" w:color="auto"/>
        <w:right w:val="none" w:sz="0" w:space="0" w:color="auto"/>
      </w:divBdr>
    </w:div>
    <w:div w:id="542060528">
      <w:bodyDiv w:val="1"/>
      <w:marLeft w:val="0"/>
      <w:marRight w:val="0"/>
      <w:marTop w:val="0"/>
      <w:marBottom w:val="0"/>
      <w:divBdr>
        <w:top w:val="none" w:sz="0" w:space="0" w:color="auto"/>
        <w:left w:val="none" w:sz="0" w:space="0" w:color="auto"/>
        <w:bottom w:val="none" w:sz="0" w:space="0" w:color="auto"/>
        <w:right w:val="none" w:sz="0" w:space="0" w:color="auto"/>
      </w:divBdr>
    </w:div>
    <w:div w:id="674118081">
      <w:bodyDiv w:val="1"/>
      <w:marLeft w:val="0"/>
      <w:marRight w:val="0"/>
      <w:marTop w:val="0"/>
      <w:marBottom w:val="0"/>
      <w:divBdr>
        <w:top w:val="none" w:sz="0" w:space="0" w:color="auto"/>
        <w:left w:val="none" w:sz="0" w:space="0" w:color="auto"/>
        <w:bottom w:val="none" w:sz="0" w:space="0" w:color="auto"/>
        <w:right w:val="none" w:sz="0" w:space="0" w:color="auto"/>
      </w:divBdr>
    </w:div>
    <w:div w:id="679313348">
      <w:bodyDiv w:val="1"/>
      <w:marLeft w:val="0"/>
      <w:marRight w:val="0"/>
      <w:marTop w:val="0"/>
      <w:marBottom w:val="0"/>
      <w:divBdr>
        <w:top w:val="none" w:sz="0" w:space="0" w:color="auto"/>
        <w:left w:val="none" w:sz="0" w:space="0" w:color="auto"/>
        <w:bottom w:val="none" w:sz="0" w:space="0" w:color="auto"/>
        <w:right w:val="none" w:sz="0" w:space="0" w:color="auto"/>
      </w:divBdr>
    </w:div>
    <w:div w:id="855965720">
      <w:bodyDiv w:val="1"/>
      <w:marLeft w:val="0"/>
      <w:marRight w:val="0"/>
      <w:marTop w:val="0"/>
      <w:marBottom w:val="0"/>
      <w:divBdr>
        <w:top w:val="none" w:sz="0" w:space="0" w:color="auto"/>
        <w:left w:val="none" w:sz="0" w:space="0" w:color="auto"/>
        <w:bottom w:val="none" w:sz="0" w:space="0" w:color="auto"/>
        <w:right w:val="none" w:sz="0" w:space="0" w:color="auto"/>
      </w:divBdr>
    </w:div>
    <w:div w:id="1202592852">
      <w:bodyDiv w:val="1"/>
      <w:marLeft w:val="0"/>
      <w:marRight w:val="0"/>
      <w:marTop w:val="0"/>
      <w:marBottom w:val="0"/>
      <w:divBdr>
        <w:top w:val="none" w:sz="0" w:space="0" w:color="auto"/>
        <w:left w:val="none" w:sz="0" w:space="0" w:color="auto"/>
        <w:bottom w:val="none" w:sz="0" w:space="0" w:color="auto"/>
        <w:right w:val="none" w:sz="0" w:space="0" w:color="auto"/>
      </w:divBdr>
    </w:div>
    <w:div w:id="1247306461">
      <w:bodyDiv w:val="1"/>
      <w:marLeft w:val="0"/>
      <w:marRight w:val="0"/>
      <w:marTop w:val="0"/>
      <w:marBottom w:val="0"/>
      <w:divBdr>
        <w:top w:val="none" w:sz="0" w:space="0" w:color="auto"/>
        <w:left w:val="none" w:sz="0" w:space="0" w:color="auto"/>
        <w:bottom w:val="none" w:sz="0" w:space="0" w:color="auto"/>
        <w:right w:val="none" w:sz="0" w:space="0" w:color="auto"/>
      </w:divBdr>
    </w:div>
    <w:div w:id="1797213615">
      <w:bodyDiv w:val="1"/>
      <w:marLeft w:val="0"/>
      <w:marRight w:val="0"/>
      <w:marTop w:val="0"/>
      <w:marBottom w:val="0"/>
      <w:divBdr>
        <w:top w:val="none" w:sz="0" w:space="0" w:color="auto"/>
        <w:left w:val="none" w:sz="0" w:space="0" w:color="auto"/>
        <w:bottom w:val="none" w:sz="0" w:space="0" w:color="auto"/>
        <w:right w:val="none" w:sz="0" w:space="0" w:color="auto"/>
      </w:divBdr>
    </w:div>
    <w:div w:id="1798141779">
      <w:bodyDiv w:val="1"/>
      <w:marLeft w:val="0"/>
      <w:marRight w:val="0"/>
      <w:marTop w:val="0"/>
      <w:marBottom w:val="0"/>
      <w:divBdr>
        <w:top w:val="none" w:sz="0" w:space="0" w:color="auto"/>
        <w:left w:val="none" w:sz="0" w:space="0" w:color="auto"/>
        <w:bottom w:val="none" w:sz="0" w:space="0" w:color="auto"/>
        <w:right w:val="none" w:sz="0" w:space="0" w:color="auto"/>
      </w:divBdr>
    </w:div>
    <w:div w:id="1818372590">
      <w:bodyDiv w:val="1"/>
      <w:marLeft w:val="0"/>
      <w:marRight w:val="0"/>
      <w:marTop w:val="0"/>
      <w:marBottom w:val="0"/>
      <w:divBdr>
        <w:top w:val="none" w:sz="0" w:space="0" w:color="auto"/>
        <w:left w:val="none" w:sz="0" w:space="0" w:color="auto"/>
        <w:bottom w:val="none" w:sz="0" w:space="0" w:color="auto"/>
        <w:right w:val="none" w:sz="0" w:space="0" w:color="auto"/>
      </w:divBdr>
    </w:div>
    <w:div w:id="1859150825">
      <w:bodyDiv w:val="1"/>
      <w:marLeft w:val="0"/>
      <w:marRight w:val="0"/>
      <w:marTop w:val="0"/>
      <w:marBottom w:val="0"/>
      <w:divBdr>
        <w:top w:val="none" w:sz="0" w:space="0" w:color="auto"/>
        <w:left w:val="none" w:sz="0" w:space="0" w:color="auto"/>
        <w:bottom w:val="none" w:sz="0" w:space="0" w:color="auto"/>
        <w:right w:val="none" w:sz="0" w:space="0" w:color="auto"/>
      </w:divBdr>
    </w:div>
    <w:div w:id="1945310244">
      <w:bodyDiv w:val="1"/>
      <w:marLeft w:val="0"/>
      <w:marRight w:val="0"/>
      <w:marTop w:val="0"/>
      <w:marBottom w:val="0"/>
      <w:divBdr>
        <w:top w:val="none" w:sz="0" w:space="0" w:color="auto"/>
        <w:left w:val="none" w:sz="0" w:space="0" w:color="auto"/>
        <w:bottom w:val="none" w:sz="0" w:space="0" w:color="auto"/>
        <w:right w:val="none" w:sz="0" w:space="0" w:color="auto"/>
      </w:divBdr>
    </w:div>
    <w:div w:id="1977056805">
      <w:bodyDiv w:val="1"/>
      <w:marLeft w:val="0"/>
      <w:marRight w:val="0"/>
      <w:marTop w:val="0"/>
      <w:marBottom w:val="0"/>
      <w:divBdr>
        <w:top w:val="none" w:sz="0" w:space="0" w:color="auto"/>
        <w:left w:val="none" w:sz="0" w:space="0" w:color="auto"/>
        <w:bottom w:val="none" w:sz="0" w:space="0" w:color="auto"/>
        <w:right w:val="none" w:sz="0" w:space="0" w:color="auto"/>
      </w:divBdr>
    </w:div>
    <w:div w:id="2023628320">
      <w:bodyDiv w:val="1"/>
      <w:marLeft w:val="0"/>
      <w:marRight w:val="0"/>
      <w:marTop w:val="0"/>
      <w:marBottom w:val="0"/>
      <w:divBdr>
        <w:top w:val="none" w:sz="0" w:space="0" w:color="auto"/>
        <w:left w:val="none" w:sz="0" w:space="0" w:color="auto"/>
        <w:bottom w:val="none" w:sz="0" w:space="0" w:color="auto"/>
        <w:right w:val="none" w:sz="0" w:space="0" w:color="auto"/>
      </w:divBdr>
    </w:div>
    <w:div w:id="2125733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4/relationships/chartEx" Target="charts/chartEx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2.xml"/><Relationship Id="rId5" Type="http://schemas.openxmlformats.org/officeDocument/2006/relationships/webSettings" Target="webSettings.xml"/><Relationship Id="rId10"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3.xml"/><Relationship Id="rId1" Type="http://schemas.microsoft.com/office/2011/relationships/chartStyle" Target="style3.xml"/></Relationships>
</file>

<file path=word/charts/_rels/chart3.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4.xml"/><Relationship Id="rId1" Type="http://schemas.microsoft.com/office/2011/relationships/chartStyle" Target="style4.xml"/></Relationships>
</file>

<file path=word/charts/_rels/chartEx1.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oleObject" Target="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sz="1400" b="1" i="0" u="none" strike="noStrike" baseline="0">
                <a:effectLst/>
              </a:rPr>
              <a:t>Proprietary Trading Revenue Reduction</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Sheet1!$A$9</c:f>
              <c:strCache>
                <c:ptCount val="1"/>
                <c:pt idx="0">
                  <c:v>2014</c:v>
                </c:pt>
              </c:strCache>
            </c:strRef>
          </c:tx>
          <c:spPr>
            <a:solidFill>
              <a:schemeClr val="accent1"/>
            </a:solidFill>
            <a:ln>
              <a:noFill/>
            </a:ln>
            <a:effectLst/>
          </c:spPr>
          <c:invertIfNegative val="0"/>
          <c:cat>
            <c:strRef>
              <c:f>Sheet1!$B$8</c:f>
              <c:strCache>
                <c:ptCount val="1"/>
                <c:pt idx="0">
                  <c:v>Proprietary Trading Revenue ($ Billion)</c:v>
                </c:pt>
              </c:strCache>
            </c:strRef>
          </c:cat>
          <c:val>
            <c:numRef>
              <c:f>Sheet1!$B$9</c:f>
              <c:numCache>
                <c:formatCode>General</c:formatCode>
                <c:ptCount val="1"/>
                <c:pt idx="0">
                  <c:v>20</c:v>
                </c:pt>
              </c:numCache>
            </c:numRef>
          </c:val>
          <c:extLst>
            <c:ext xmlns:c16="http://schemas.microsoft.com/office/drawing/2014/chart" uri="{C3380CC4-5D6E-409C-BE32-E72D297353CC}">
              <c16:uniqueId val="{00000000-A967-408A-9629-3E725C26F28C}"/>
            </c:ext>
          </c:extLst>
        </c:ser>
        <c:ser>
          <c:idx val="1"/>
          <c:order val="1"/>
          <c:tx>
            <c:strRef>
              <c:f>Sheet1!$A$10</c:f>
              <c:strCache>
                <c:ptCount val="1"/>
                <c:pt idx="0">
                  <c:v>2015</c:v>
                </c:pt>
              </c:strCache>
            </c:strRef>
          </c:tx>
          <c:spPr>
            <a:solidFill>
              <a:schemeClr val="accent2"/>
            </a:solidFill>
            <a:ln>
              <a:noFill/>
            </a:ln>
            <a:effectLst/>
          </c:spPr>
          <c:invertIfNegative val="0"/>
          <c:cat>
            <c:strRef>
              <c:f>Sheet1!$B$8</c:f>
              <c:strCache>
                <c:ptCount val="1"/>
                <c:pt idx="0">
                  <c:v>Proprietary Trading Revenue ($ Billion)</c:v>
                </c:pt>
              </c:strCache>
            </c:strRef>
          </c:cat>
          <c:val>
            <c:numRef>
              <c:f>Sheet1!$B$10</c:f>
              <c:numCache>
                <c:formatCode>General</c:formatCode>
                <c:ptCount val="1"/>
                <c:pt idx="0">
                  <c:v>17</c:v>
                </c:pt>
              </c:numCache>
            </c:numRef>
          </c:val>
          <c:extLst>
            <c:ext xmlns:c16="http://schemas.microsoft.com/office/drawing/2014/chart" uri="{C3380CC4-5D6E-409C-BE32-E72D297353CC}">
              <c16:uniqueId val="{00000001-A967-408A-9629-3E725C26F28C}"/>
            </c:ext>
          </c:extLst>
        </c:ser>
        <c:ser>
          <c:idx val="2"/>
          <c:order val="2"/>
          <c:tx>
            <c:strRef>
              <c:f>Sheet1!$A$11</c:f>
              <c:strCache>
                <c:ptCount val="1"/>
                <c:pt idx="0">
                  <c:v>2016</c:v>
                </c:pt>
              </c:strCache>
            </c:strRef>
          </c:tx>
          <c:spPr>
            <a:solidFill>
              <a:schemeClr val="accent3"/>
            </a:solidFill>
            <a:ln>
              <a:noFill/>
            </a:ln>
            <a:effectLst/>
          </c:spPr>
          <c:invertIfNegative val="0"/>
          <c:cat>
            <c:strRef>
              <c:f>Sheet1!$B$8</c:f>
              <c:strCache>
                <c:ptCount val="1"/>
                <c:pt idx="0">
                  <c:v>Proprietary Trading Revenue ($ Billion)</c:v>
                </c:pt>
              </c:strCache>
            </c:strRef>
          </c:cat>
          <c:val>
            <c:numRef>
              <c:f>Sheet1!$B$11</c:f>
              <c:numCache>
                <c:formatCode>General</c:formatCode>
                <c:ptCount val="1"/>
                <c:pt idx="0">
                  <c:v>16</c:v>
                </c:pt>
              </c:numCache>
            </c:numRef>
          </c:val>
          <c:extLst>
            <c:ext xmlns:c16="http://schemas.microsoft.com/office/drawing/2014/chart" uri="{C3380CC4-5D6E-409C-BE32-E72D297353CC}">
              <c16:uniqueId val="{00000002-A967-408A-9629-3E725C26F28C}"/>
            </c:ext>
          </c:extLst>
        </c:ser>
        <c:ser>
          <c:idx val="3"/>
          <c:order val="3"/>
          <c:tx>
            <c:strRef>
              <c:f>Sheet1!$A$12</c:f>
              <c:strCache>
                <c:ptCount val="1"/>
                <c:pt idx="0">
                  <c:v>2017</c:v>
                </c:pt>
              </c:strCache>
            </c:strRef>
          </c:tx>
          <c:spPr>
            <a:solidFill>
              <a:schemeClr val="accent4"/>
            </a:solidFill>
            <a:ln>
              <a:noFill/>
            </a:ln>
            <a:effectLst/>
          </c:spPr>
          <c:invertIfNegative val="0"/>
          <c:cat>
            <c:strRef>
              <c:f>Sheet1!$B$8</c:f>
              <c:strCache>
                <c:ptCount val="1"/>
                <c:pt idx="0">
                  <c:v>Proprietary Trading Revenue ($ Billion)</c:v>
                </c:pt>
              </c:strCache>
            </c:strRef>
          </c:cat>
          <c:val>
            <c:numRef>
              <c:f>Sheet1!$B$12</c:f>
              <c:numCache>
                <c:formatCode>General</c:formatCode>
                <c:ptCount val="1"/>
                <c:pt idx="0">
                  <c:v>15</c:v>
                </c:pt>
              </c:numCache>
            </c:numRef>
          </c:val>
          <c:extLst>
            <c:ext xmlns:c16="http://schemas.microsoft.com/office/drawing/2014/chart" uri="{C3380CC4-5D6E-409C-BE32-E72D297353CC}">
              <c16:uniqueId val="{00000003-A967-408A-9629-3E725C26F28C}"/>
            </c:ext>
          </c:extLst>
        </c:ser>
        <c:ser>
          <c:idx val="4"/>
          <c:order val="4"/>
          <c:tx>
            <c:strRef>
              <c:f>Sheet1!$A$13</c:f>
              <c:strCache>
                <c:ptCount val="1"/>
                <c:pt idx="0">
                  <c:v>2018</c:v>
                </c:pt>
              </c:strCache>
            </c:strRef>
          </c:tx>
          <c:spPr>
            <a:solidFill>
              <a:schemeClr val="accent5"/>
            </a:solidFill>
            <a:ln>
              <a:noFill/>
            </a:ln>
            <a:effectLst/>
          </c:spPr>
          <c:invertIfNegative val="0"/>
          <c:cat>
            <c:strRef>
              <c:f>Sheet1!$B$8</c:f>
              <c:strCache>
                <c:ptCount val="1"/>
                <c:pt idx="0">
                  <c:v>Proprietary Trading Revenue ($ Billion)</c:v>
                </c:pt>
              </c:strCache>
            </c:strRef>
          </c:cat>
          <c:val>
            <c:numRef>
              <c:f>Sheet1!$B$13</c:f>
              <c:numCache>
                <c:formatCode>General</c:formatCode>
                <c:ptCount val="1"/>
                <c:pt idx="0">
                  <c:v>14</c:v>
                </c:pt>
              </c:numCache>
            </c:numRef>
          </c:val>
          <c:extLst>
            <c:ext xmlns:c16="http://schemas.microsoft.com/office/drawing/2014/chart" uri="{C3380CC4-5D6E-409C-BE32-E72D297353CC}">
              <c16:uniqueId val="{00000004-A967-408A-9629-3E725C26F28C}"/>
            </c:ext>
          </c:extLst>
        </c:ser>
        <c:ser>
          <c:idx val="5"/>
          <c:order val="5"/>
          <c:tx>
            <c:strRef>
              <c:f>Sheet1!$A$14</c:f>
              <c:strCache>
                <c:ptCount val="1"/>
                <c:pt idx="0">
                  <c:v>2019</c:v>
                </c:pt>
              </c:strCache>
            </c:strRef>
          </c:tx>
          <c:spPr>
            <a:solidFill>
              <a:schemeClr val="accent6"/>
            </a:solidFill>
            <a:ln>
              <a:noFill/>
            </a:ln>
            <a:effectLst/>
          </c:spPr>
          <c:invertIfNegative val="0"/>
          <c:cat>
            <c:strRef>
              <c:f>Sheet1!$B$8</c:f>
              <c:strCache>
                <c:ptCount val="1"/>
                <c:pt idx="0">
                  <c:v>Proprietary Trading Revenue ($ Billion)</c:v>
                </c:pt>
              </c:strCache>
            </c:strRef>
          </c:cat>
          <c:val>
            <c:numRef>
              <c:f>Sheet1!$B$14</c:f>
              <c:numCache>
                <c:formatCode>General</c:formatCode>
                <c:ptCount val="1"/>
                <c:pt idx="0">
                  <c:v>13</c:v>
                </c:pt>
              </c:numCache>
            </c:numRef>
          </c:val>
          <c:extLst>
            <c:ext xmlns:c16="http://schemas.microsoft.com/office/drawing/2014/chart" uri="{C3380CC4-5D6E-409C-BE32-E72D297353CC}">
              <c16:uniqueId val="{00000005-A967-408A-9629-3E725C26F28C}"/>
            </c:ext>
          </c:extLst>
        </c:ser>
        <c:dLbls>
          <c:showLegendKey val="0"/>
          <c:showVal val="0"/>
          <c:showCatName val="0"/>
          <c:showSerName val="0"/>
          <c:showPercent val="0"/>
          <c:showBubbleSize val="0"/>
        </c:dLbls>
        <c:gapWidth val="219"/>
        <c:overlap val="-27"/>
        <c:axId val="774776840"/>
        <c:axId val="774773232"/>
      </c:barChart>
      <c:catAx>
        <c:axId val="77477684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74773232"/>
        <c:crosses val="autoZero"/>
        <c:auto val="1"/>
        <c:lblAlgn val="ctr"/>
        <c:lblOffset val="100"/>
        <c:noMultiLvlLbl val="0"/>
      </c:catAx>
      <c:valAx>
        <c:axId val="77477323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7477684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r>
              <a:rPr lang="en-IN" sz="1800" b="1">
                <a:effectLst/>
              </a:rPr>
              <a:t> Number of Retail Banks in the U.S.</a:t>
            </a:r>
            <a:endParaRPr lang="en-US" sz="1800">
              <a:effectLst/>
            </a:endParaRPr>
          </a:p>
          <a:p>
            <a:pPr marL="0" marR="0" lvl="0" indent="0" algn="ctr" defTabSz="914400" rtl="0" eaLnBrk="1" fontAlgn="auto" latinLnBrk="0" hangingPunct="1">
              <a:lnSpc>
                <a:spcPct val="100000"/>
              </a:lnSpc>
              <a:spcBef>
                <a:spcPts val="0"/>
              </a:spcBef>
              <a:spcAft>
                <a:spcPts val="0"/>
              </a:spcAft>
              <a:buClrTx/>
              <a:buSzTx/>
              <a:buFontTx/>
              <a:buNone/>
              <a:tabLst/>
              <a:defRPr>
                <a:solidFill>
                  <a:sysClr val="windowText" lastClr="000000">
                    <a:lumMod val="65000"/>
                    <a:lumOff val="35000"/>
                  </a:sysClr>
                </a:solidFill>
              </a:defRPr>
            </a:pPr>
            <a:endParaRPr lang="en-US"/>
          </a:p>
        </c:rich>
      </c:tx>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endParaRPr lang="en-US"/>
        </a:p>
      </c:txPr>
    </c:title>
    <c:autoTitleDeleted val="0"/>
    <c:plotArea>
      <c:layout/>
      <c:scatterChart>
        <c:scatterStyle val="smoothMarker"/>
        <c:varyColors val="0"/>
        <c:ser>
          <c:idx val="0"/>
          <c:order val="0"/>
          <c:tx>
            <c:strRef>
              <c:f>Sheet1!$B$33</c:f>
              <c:strCache>
                <c:ptCount val="1"/>
                <c:pt idx="0">
                  <c:v>Number of Banks</c:v>
                </c:pt>
              </c:strCache>
            </c:strRef>
          </c:tx>
          <c:spPr>
            <a:ln w="19050" cap="rnd">
              <a:solidFill>
                <a:schemeClr val="accent1"/>
              </a:solidFill>
              <a:round/>
            </a:ln>
            <a:effectLst/>
          </c:spPr>
          <c:marker>
            <c:symbol val="none"/>
          </c:marker>
          <c:xVal>
            <c:numRef>
              <c:f>Sheet1!$A$34:$A$42</c:f>
              <c:numCache>
                <c:formatCode>General</c:formatCode>
                <c:ptCount val="9"/>
                <c:pt idx="0">
                  <c:v>2015</c:v>
                </c:pt>
                <c:pt idx="1">
                  <c:v>2016</c:v>
                </c:pt>
                <c:pt idx="2">
                  <c:v>2017</c:v>
                </c:pt>
                <c:pt idx="3">
                  <c:v>2018</c:v>
                </c:pt>
                <c:pt idx="4">
                  <c:v>2019</c:v>
                </c:pt>
                <c:pt idx="5">
                  <c:v>2020</c:v>
                </c:pt>
                <c:pt idx="6">
                  <c:v>2021</c:v>
                </c:pt>
                <c:pt idx="7">
                  <c:v>2022</c:v>
                </c:pt>
                <c:pt idx="8">
                  <c:v>2023</c:v>
                </c:pt>
              </c:numCache>
            </c:numRef>
          </c:xVal>
          <c:yVal>
            <c:numRef>
              <c:f>Sheet1!$B$34:$B$42</c:f>
              <c:numCache>
                <c:formatCode>#,##0</c:formatCode>
                <c:ptCount val="9"/>
                <c:pt idx="0">
                  <c:v>5000</c:v>
                </c:pt>
                <c:pt idx="1">
                  <c:v>4800</c:v>
                </c:pt>
                <c:pt idx="2">
                  <c:v>4600</c:v>
                </c:pt>
                <c:pt idx="3">
                  <c:v>4500</c:v>
                </c:pt>
                <c:pt idx="4">
                  <c:v>4400</c:v>
                </c:pt>
                <c:pt idx="5">
                  <c:v>4300</c:v>
                </c:pt>
                <c:pt idx="6">
                  <c:v>4250</c:v>
                </c:pt>
                <c:pt idx="7">
                  <c:v>4200</c:v>
                </c:pt>
                <c:pt idx="8">
                  <c:v>4300</c:v>
                </c:pt>
              </c:numCache>
            </c:numRef>
          </c:yVal>
          <c:smooth val="1"/>
          <c:extLst>
            <c:ext xmlns:c16="http://schemas.microsoft.com/office/drawing/2014/chart" uri="{C3380CC4-5D6E-409C-BE32-E72D297353CC}">
              <c16:uniqueId val="{00000000-187A-4628-B3B3-5B77FE195695}"/>
            </c:ext>
          </c:extLst>
        </c:ser>
        <c:dLbls>
          <c:showLegendKey val="0"/>
          <c:showVal val="0"/>
          <c:showCatName val="0"/>
          <c:showSerName val="0"/>
          <c:showPercent val="0"/>
          <c:showBubbleSize val="0"/>
        </c:dLbls>
        <c:axId val="778135112"/>
        <c:axId val="778136424"/>
      </c:scatterChart>
      <c:valAx>
        <c:axId val="77813511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78136424"/>
        <c:crosses val="autoZero"/>
        <c:crossBetween val="midCat"/>
      </c:valAx>
      <c:valAx>
        <c:axId val="778136424"/>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78135112"/>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r>
              <a:rPr lang="en-IN" sz="1800" b="1">
                <a:effectLst/>
              </a:rPr>
              <a:t> Percentage of Bank Customers Using Online and Mobile Banking (2023)</a:t>
            </a:r>
            <a:endParaRPr lang="en-US" sz="1800">
              <a:effectLst/>
            </a:endParaRPr>
          </a:p>
          <a:p>
            <a:pPr marL="0" marR="0" lvl="0" indent="0" algn="ctr" defTabSz="914400" rtl="0" eaLnBrk="1" fontAlgn="auto" latinLnBrk="0" hangingPunct="1">
              <a:lnSpc>
                <a:spcPct val="100000"/>
              </a:lnSpc>
              <a:spcBef>
                <a:spcPts val="0"/>
              </a:spcBef>
              <a:spcAft>
                <a:spcPts val="0"/>
              </a:spcAft>
              <a:buClrTx/>
              <a:buSzTx/>
              <a:buFontTx/>
              <a:buNone/>
              <a:tabLst/>
              <a:defRPr>
                <a:solidFill>
                  <a:sysClr val="windowText" lastClr="000000">
                    <a:lumMod val="65000"/>
                    <a:lumOff val="35000"/>
                  </a:sysClr>
                </a:solidFill>
              </a:defRPr>
            </a:pPr>
            <a:endParaRPr lang="en-US"/>
          </a:p>
        </c:rich>
      </c:tx>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endParaRPr lang="en-US"/>
        </a:p>
      </c:txPr>
    </c:title>
    <c:autoTitleDeleted val="0"/>
    <c:plotArea>
      <c:layout/>
      <c:barChart>
        <c:barDir val="col"/>
        <c:grouping val="clustered"/>
        <c:varyColors val="0"/>
        <c:ser>
          <c:idx val="0"/>
          <c:order val="0"/>
          <c:tx>
            <c:strRef>
              <c:f>Sheet1!$H$2</c:f>
              <c:strCache>
                <c:ptCount val="1"/>
                <c:pt idx="0">
                  <c:v>Online Banking (%)</c:v>
                </c:pt>
              </c:strCache>
            </c:strRef>
          </c:tx>
          <c:spPr>
            <a:solidFill>
              <a:schemeClr val="accent1"/>
            </a:solidFill>
            <a:ln>
              <a:noFill/>
            </a:ln>
            <a:effectLst/>
          </c:spPr>
          <c:invertIfNegative val="0"/>
          <c:cat>
            <c:strRef>
              <c:f>Sheet1!$G$3:$G$8</c:f>
              <c:strCache>
                <c:ptCount val="6"/>
                <c:pt idx="0">
                  <c:v>18-24</c:v>
                </c:pt>
                <c:pt idx="1">
                  <c:v>25-34</c:v>
                </c:pt>
                <c:pt idx="2">
                  <c:v>35-44</c:v>
                </c:pt>
                <c:pt idx="3">
                  <c:v>45-54</c:v>
                </c:pt>
                <c:pt idx="4">
                  <c:v>55-64</c:v>
                </c:pt>
                <c:pt idx="5">
                  <c:v>65+</c:v>
                </c:pt>
              </c:strCache>
            </c:strRef>
          </c:cat>
          <c:val>
            <c:numRef>
              <c:f>Sheet1!$H$3:$H$8</c:f>
              <c:numCache>
                <c:formatCode>General</c:formatCode>
                <c:ptCount val="6"/>
                <c:pt idx="0">
                  <c:v>80</c:v>
                </c:pt>
                <c:pt idx="1">
                  <c:v>85</c:v>
                </c:pt>
                <c:pt idx="2">
                  <c:v>75</c:v>
                </c:pt>
                <c:pt idx="3">
                  <c:v>65</c:v>
                </c:pt>
                <c:pt idx="4">
                  <c:v>60</c:v>
                </c:pt>
                <c:pt idx="5">
                  <c:v>50</c:v>
                </c:pt>
              </c:numCache>
            </c:numRef>
          </c:val>
          <c:extLst>
            <c:ext xmlns:c16="http://schemas.microsoft.com/office/drawing/2014/chart" uri="{C3380CC4-5D6E-409C-BE32-E72D297353CC}">
              <c16:uniqueId val="{00000000-6D49-42AC-AF6A-204011EBC2A4}"/>
            </c:ext>
          </c:extLst>
        </c:ser>
        <c:ser>
          <c:idx val="1"/>
          <c:order val="1"/>
          <c:tx>
            <c:strRef>
              <c:f>Sheet1!$I$2</c:f>
              <c:strCache>
                <c:ptCount val="1"/>
                <c:pt idx="0">
                  <c:v>Mobile Banking (%)</c:v>
                </c:pt>
              </c:strCache>
            </c:strRef>
          </c:tx>
          <c:spPr>
            <a:solidFill>
              <a:schemeClr val="accent2"/>
            </a:solidFill>
            <a:ln>
              <a:noFill/>
            </a:ln>
            <a:effectLst/>
          </c:spPr>
          <c:invertIfNegative val="0"/>
          <c:cat>
            <c:strRef>
              <c:f>Sheet1!$G$3:$G$8</c:f>
              <c:strCache>
                <c:ptCount val="6"/>
                <c:pt idx="0">
                  <c:v>18-24</c:v>
                </c:pt>
                <c:pt idx="1">
                  <c:v>25-34</c:v>
                </c:pt>
                <c:pt idx="2">
                  <c:v>35-44</c:v>
                </c:pt>
                <c:pt idx="3">
                  <c:v>45-54</c:v>
                </c:pt>
                <c:pt idx="4">
                  <c:v>55-64</c:v>
                </c:pt>
                <c:pt idx="5">
                  <c:v>65+</c:v>
                </c:pt>
              </c:strCache>
            </c:strRef>
          </c:cat>
          <c:val>
            <c:numRef>
              <c:f>Sheet1!$I$3:$I$8</c:f>
              <c:numCache>
                <c:formatCode>General</c:formatCode>
                <c:ptCount val="6"/>
                <c:pt idx="0">
                  <c:v>90</c:v>
                </c:pt>
                <c:pt idx="1">
                  <c:v>88</c:v>
                </c:pt>
                <c:pt idx="2">
                  <c:v>70</c:v>
                </c:pt>
                <c:pt idx="3">
                  <c:v>55</c:v>
                </c:pt>
                <c:pt idx="4">
                  <c:v>45</c:v>
                </c:pt>
                <c:pt idx="5">
                  <c:v>30</c:v>
                </c:pt>
              </c:numCache>
            </c:numRef>
          </c:val>
          <c:extLst>
            <c:ext xmlns:c16="http://schemas.microsoft.com/office/drawing/2014/chart" uri="{C3380CC4-5D6E-409C-BE32-E72D297353CC}">
              <c16:uniqueId val="{00000001-6D49-42AC-AF6A-204011EBC2A4}"/>
            </c:ext>
          </c:extLst>
        </c:ser>
        <c:dLbls>
          <c:showLegendKey val="0"/>
          <c:showVal val="0"/>
          <c:showCatName val="0"/>
          <c:showSerName val="0"/>
          <c:showPercent val="0"/>
          <c:showBubbleSize val="0"/>
        </c:dLbls>
        <c:gapWidth val="219"/>
        <c:overlap val="-27"/>
        <c:axId val="804906352"/>
        <c:axId val="804908320"/>
      </c:barChart>
      <c:catAx>
        <c:axId val="80490635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04908320"/>
        <c:crosses val="autoZero"/>
        <c:auto val="1"/>
        <c:lblAlgn val="ctr"/>
        <c:lblOffset val="100"/>
        <c:noMultiLvlLbl val="0"/>
      </c:catAx>
      <c:valAx>
        <c:axId val="80490832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0490635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Ex1.xml><?xml version="1.0" encoding="utf-8"?>
<cx:chartSpace xmlns:a="http://schemas.openxmlformats.org/drawingml/2006/main" xmlns:r="http://schemas.openxmlformats.org/officeDocument/2006/relationships" xmlns:cx="http://schemas.microsoft.com/office/drawing/2014/chartex">
  <cx:chartData>
    <cx:externalData r:id="rId1" cx:autoUpdate="0"/>
    <cx:data id="0">
      <cx:strDim type="cat">
        <cx:f>Sheet1!$A$2:$A$5</cx:f>
        <cx:lvl ptCount="4">
          <cx:pt idx="0">Large Banks</cx:pt>
          <cx:pt idx="1">Medium-Sized Banks</cx:pt>
          <cx:pt idx="2">Small Banks</cx:pt>
          <cx:pt idx="3">Total</cx:pt>
        </cx:lvl>
      </cx:strDim>
      <cx:numDim type="val">
        <cx:f>Sheet1!$B$2:$B$5</cx:f>
        <cx:lvl ptCount="4" formatCode="General">
          <cx:pt idx="0">50</cx:pt>
          <cx:pt idx="1">450</cx:pt>
          <cx:pt idx="2">4000</cx:pt>
          <cx:pt idx="3">4500</cx:pt>
        </cx:lvl>
      </cx:numDim>
    </cx:data>
  </cx:chartData>
  <cx:chart>
    <cx:title pos="t" align="ctr" overlay="0">
      <cx:tx>
        <cx:rich>
          <a:bodyPr spcFirstLastPara="1" vertOverflow="ellipsis" horzOverflow="overflow" wrap="square" lIns="0" tIns="0" rIns="0" bIns="0"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a:pPr>
            <a:r>
              <a:rPr lang="en-IN" sz="1400" b="1" i="0" u="none" strike="noStrike" baseline="0">
                <a:solidFill>
                  <a:sysClr val="windowText" lastClr="000000">
                    <a:lumMod val="65000"/>
                    <a:lumOff val="35000"/>
                  </a:sysClr>
                </a:solidFill>
                <a:effectLst/>
                <a:latin typeface="Calibri" panose="020F0502020204030204"/>
                <a:ea typeface="Calibri" panose="020F0502020204030204" pitchFamily="34" charset="0"/>
                <a:cs typeface="Calibri" panose="020F0502020204030204" pitchFamily="34" charset="0"/>
              </a:rPr>
              <a:t> Banks Affected by Volcker Rule</a:t>
            </a:r>
            <a:endParaRPr lang="en-US" sz="1400" b="0" i="0" u="none" strike="noStrike" baseline="0">
              <a:solidFill>
                <a:sysClr val="windowText" lastClr="000000">
                  <a:lumMod val="65000"/>
                  <a:lumOff val="35000"/>
                </a:sysClr>
              </a:solidFill>
              <a:effectLst/>
              <a:latin typeface="Calibri" panose="020F0502020204030204"/>
              <a:ea typeface="Calibri" panose="020F0502020204030204" pitchFamily="34" charset="0"/>
              <a:cs typeface="Calibri" panose="020F0502020204030204" pitchFamily="34" charset="0"/>
            </a:endParaRPr>
          </a:p>
          <a:p>
            <a:pPr marL="0" marR="0" lvl="0" indent="0" algn="ctr" defTabSz="914400" rtl="0" eaLnBrk="1" fontAlgn="auto" latinLnBrk="0" hangingPunct="1">
              <a:lnSpc>
                <a:spcPct val="100000"/>
              </a:lnSpc>
              <a:spcBef>
                <a:spcPts val="0"/>
              </a:spcBef>
              <a:spcAft>
                <a:spcPts val="0"/>
              </a:spcAft>
              <a:buClrTx/>
              <a:buSzTx/>
              <a:buFontTx/>
              <a:buNone/>
              <a:tabLst/>
              <a:defRPr/>
            </a:pPr>
            <a:endParaRPr lang="en-US" sz="1400" b="0" i="0" u="none" strike="noStrike" baseline="0">
              <a:solidFill>
                <a:sysClr val="windowText" lastClr="000000">
                  <a:lumMod val="65000"/>
                  <a:lumOff val="35000"/>
                </a:sysClr>
              </a:solidFill>
              <a:latin typeface="Calibri" panose="020F0502020204030204"/>
            </a:endParaRPr>
          </a:p>
        </cx:rich>
      </cx:tx>
    </cx:title>
    <cx:plotArea>
      <cx:plotAreaRegion>
        <cx:series layoutId="boxWhisker" uniqueId="{24FC6E6D-D2D8-432B-930E-C83E6256D081}">
          <cx:tx>
            <cx:txData>
              <cx:f>Sheet1!$B$1</cx:f>
              <cx:v>Number of Banks</cx:v>
            </cx:txData>
          </cx:tx>
          <cx:dataId val="0"/>
          <cx:layoutPr>
            <cx:visibility meanLine="0" meanMarker="1" nonoutliers="0" outliers="1"/>
            <cx:statistics quartileMethod="exclusive"/>
          </cx:layoutPr>
        </cx:series>
      </cx:plotAreaRegion>
      <cx:axis id="0">
        <cx:catScaling gapWidth="1"/>
        <cx:tickLabels/>
      </cx:axis>
      <cx:axis id="1">
        <cx:valScaling/>
        <cx:majorGridlines/>
        <cx:tickLabels/>
      </cx:axis>
    </cx:plotArea>
  </cx:chart>
</cx: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40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styleClr val="auto"/>
    </cs:lnRef>
    <cs:fillRef idx="0">
      <cs:styleClr val="auto"/>
    </cs:fillRef>
    <cs:effectRef idx="0"/>
    <cs:fontRef idx="minor">
      <a:schemeClr val="tx1"/>
    </cs:fontRef>
    <cs:spPr>
      <a:solidFill>
        <a:schemeClr val="phClr"/>
      </a:solidFill>
      <a:ln>
        <a:solidFill>
          <a:schemeClr val="phClr"/>
        </a:solidFill>
      </a:ln>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A6C0FF-27D4-4BC1-AF7A-485D72CA7A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1050</Words>
  <Characters>5990</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nitish reddy</dc:creator>
  <cp:keywords/>
  <dc:description/>
  <cp:lastModifiedBy>GOTLA SHIVANI</cp:lastModifiedBy>
  <cp:revision>3</cp:revision>
  <dcterms:created xsi:type="dcterms:W3CDTF">2024-06-17T12:05:00Z</dcterms:created>
  <dcterms:modified xsi:type="dcterms:W3CDTF">2024-06-17T12:05:00Z</dcterms:modified>
</cp:coreProperties>
</file>