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687CD" w14:textId="77777777" w:rsidR="00082E8B" w:rsidRPr="00082E8B" w:rsidRDefault="00082E8B" w:rsidP="00082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E8B">
        <w:rPr>
          <w:rFonts w:ascii="Times New Roman" w:eastAsia="Times New Roman" w:hAnsi="Times New Roman" w:cs="Times New Roman"/>
          <w:b/>
          <w:bCs/>
          <w:sz w:val="27"/>
          <w:szCs w:val="27"/>
          <w:lang w:eastAsia="en-IN"/>
        </w:rPr>
        <w:t>Wealth Management Operations</w:t>
      </w:r>
    </w:p>
    <w:p w14:paraId="06C49599" w14:textId="77777777" w:rsidR="00082E8B" w:rsidRPr="00082E8B" w:rsidRDefault="00082E8B" w:rsidP="00082E8B">
      <w:p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Wealth management involves providing financial and investment advice, accounting and tax services, retirement planning, and estate planning. Wealth managers work to enhance the financial status of their clients through tailored strategies and services.</w:t>
      </w:r>
    </w:p>
    <w:p w14:paraId="3EABC50E" w14:textId="77777777" w:rsidR="00082E8B" w:rsidRPr="00082E8B" w:rsidRDefault="00082E8B" w:rsidP="00082E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Key Components of Wealth Management:</w:t>
      </w:r>
    </w:p>
    <w:p w14:paraId="5EB385F2" w14:textId="77777777" w:rsidR="00082E8B" w:rsidRPr="00082E8B" w:rsidRDefault="00082E8B" w:rsidP="00082E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Investment Management</w:t>
      </w:r>
      <w:r w:rsidRPr="00082E8B">
        <w:rPr>
          <w:rFonts w:ascii="Times New Roman" w:eastAsia="Times New Roman" w:hAnsi="Times New Roman" w:cs="Times New Roman"/>
          <w:sz w:val="24"/>
          <w:szCs w:val="24"/>
          <w:lang w:eastAsia="en-IN"/>
        </w:rPr>
        <w:t>:</w:t>
      </w:r>
    </w:p>
    <w:p w14:paraId="28268948"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Portfolio management</w:t>
      </w:r>
    </w:p>
    <w:p w14:paraId="696D4600"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Asset allocation</w:t>
      </w:r>
    </w:p>
    <w:p w14:paraId="20236CB5"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Diversification strategies</w:t>
      </w:r>
    </w:p>
    <w:p w14:paraId="0A0E1527" w14:textId="77777777" w:rsidR="00082E8B" w:rsidRPr="00082E8B" w:rsidRDefault="00082E8B" w:rsidP="00082E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Financial Planning</w:t>
      </w:r>
      <w:r w:rsidRPr="00082E8B">
        <w:rPr>
          <w:rFonts w:ascii="Times New Roman" w:eastAsia="Times New Roman" w:hAnsi="Times New Roman" w:cs="Times New Roman"/>
          <w:sz w:val="24"/>
          <w:szCs w:val="24"/>
          <w:lang w:eastAsia="en-IN"/>
        </w:rPr>
        <w:t>:</w:t>
      </w:r>
    </w:p>
    <w:p w14:paraId="594E31E3"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Retirement planning</w:t>
      </w:r>
    </w:p>
    <w:p w14:paraId="27DCBE90"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Estate planning</w:t>
      </w:r>
    </w:p>
    <w:p w14:paraId="5A875FC5"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Tax planning</w:t>
      </w:r>
    </w:p>
    <w:p w14:paraId="1671F105" w14:textId="77777777" w:rsidR="00082E8B" w:rsidRPr="00082E8B" w:rsidRDefault="00082E8B" w:rsidP="00082E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Banking and Financial Services</w:t>
      </w:r>
      <w:r w:rsidRPr="00082E8B">
        <w:rPr>
          <w:rFonts w:ascii="Times New Roman" w:eastAsia="Times New Roman" w:hAnsi="Times New Roman" w:cs="Times New Roman"/>
          <w:sz w:val="24"/>
          <w:szCs w:val="24"/>
          <w:lang w:eastAsia="en-IN"/>
        </w:rPr>
        <w:t>:</w:t>
      </w:r>
    </w:p>
    <w:p w14:paraId="2C38083C"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Private banking</w:t>
      </w:r>
    </w:p>
    <w:p w14:paraId="7CA0C135"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Credit and lending services</w:t>
      </w:r>
    </w:p>
    <w:p w14:paraId="3E20FF2C" w14:textId="77777777" w:rsidR="00082E8B" w:rsidRPr="00082E8B" w:rsidRDefault="00082E8B" w:rsidP="00082E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Insurance Services</w:t>
      </w:r>
      <w:r w:rsidRPr="00082E8B">
        <w:rPr>
          <w:rFonts w:ascii="Times New Roman" w:eastAsia="Times New Roman" w:hAnsi="Times New Roman" w:cs="Times New Roman"/>
          <w:sz w:val="24"/>
          <w:szCs w:val="24"/>
          <w:lang w:eastAsia="en-IN"/>
        </w:rPr>
        <w:t>:</w:t>
      </w:r>
    </w:p>
    <w:p w14:paraId="12EA0AA3"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Life insurance</w:t>
      </w:r>
    </w:p>
    <w:p w14:paraId="37A6C5EA"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Health insurance</w:t>
      </w:r>
    </w:p>
    <w:p w14:paraId="14036C6A" w14:textId="77777777" w:rsidR="00082E8B" w:rsidRPr="00082E8B" w:rsidRDefault="00082E8B" w:rsidP="00082E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Annuities</w:t>
      </w:r>
    </w:p>
    <w:p w14:paraId="6262E025" w14:textId="2A0A42F0" w:rsidR="00082E8B" w:rsidRPr="00082E8B" w:rsidRDefault="00082E8B" w:rsidP="00082E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 xml:space="preserve">Example of Wealth Management Portfolio </w:t>
      </w:r>
      <w:proofErr w:type="gramStart"/>
      <w:r w:rsidRPr="00082E8B">
        <w:rPr>
          <w:rFonts w:ascii="Times New Roman" w:eastAsia="Times New Roman" w:hAnsi="Times New Roman" w:cs="Times New Roman"/>
          <w:b/>
          <w:bCs/>
          <w:sz w:val="24"/>
          <w:szCs w:val="24"/>
          <w:lang w:eastAsia="en-IN"/>
        </w:rPr>
        <w:t>Allocation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5"/>
        <w:gridCol w:w="2326"/>
        <w:gridCol w:w="1395"/>
      </w:tblGrid>
      <w:tr w:rsidR="00082E8B" w:rsidRPr="00082E8B" w14:paraId="77BD222B" w14:textId="77777777" w:rsidTr="00D602CB">
        <w:trPr>
          <w:tblHeader/>
          <w:tblCellSpacing w:w="15" w:type="dxa"/>
        </w:trPr>
        <w:tc>
          <w:tcPr>
            <w:tcW w:w="0" w:type="auto"/>
            <w:vAlign w:val="center"/>
            <w:hideMark/>
          </w:tcPr>
          <w:p w14:paraId="063DC9C8"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Asset Class</w:t>
            </w:r>
          </w:p>
        </w:tc>
        <w:tc>
          <w:tcPr>
            <w:tcW w:w="0" w:type="auto"/>
            <w:vAlign w:val="center"/>
            <w:hideMark/>
          </w:tcPr>
          <w:p w14:paraId="0B72A512"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Percentage Allocation</w:t>
            </w:r>
          </w:p>
        </w:tc>
        <w:tc>
          <w:tcPr>
            <w:tcW w:w="0" w:type="auto"/>
            <w:vAlign w:val="center"/>
            <w:hideMark/>
          </w:tcPr>
          <w:p w14:paraId="48336BD8"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Value (USD)</w:t>
            </w:r>
          </w:p>
        </w:tc>
      </w:tr>
      <w:tr w:rsidR="00082E8B" w:rsidRPr="00082E8B" w14:paraId="1ED58597" w14:textId="77777777" w:rsidTr="00D602CB">
        <w:trPr>
          <w:tblCellSpacing w:w="15" w:type="dxa"/>
        </w:trPr>
        <w:tc>
          <w:tcPr>
            <w:tcW w:w="0" w:type="auto"/>
            <w:vAlign w:val="center"/>
            <w:hideMark/>
          </w:tcPr>
          <w:p w14:paraId="2DD4D09F"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Equities</w:t>
            </w:r>
          </w:p>
        </w:tc>
        <w:tc>
          <w:tcPr>
            <w:tcW w:w="0" w:type="auto"/>
            <w:vAlign w:val="center"/>
            <w:hideMark/>
          </w:tcPr>
          <w:p w14:paraId="5854271F"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50%</w:t>
            </w:r>
          </w:p>
        </w:tc>
        <w:tc>
          <w:tcPr>
            <w:tcW w:w="0" w:type="auto"/>
            <w:vAlign w:val="center"/>
            <w:hideMark/>
          </w:tcPr>
          <w:p w14:paraId="2F6DB56B"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$500,000</w:t>
            </w:r>
          </w:p>
        </w:tc>
      </w:tr>
      <w:tr w:rsidR="00082E8B" w:rsidRPr="00082E8B" w14:paraId="3ACB096A" w14:textId="77777777" w:rsidTr="00D602CB">
        <w:trPr>
          <w:tblCellSpacing w:w="15" w:type="dxa"/>
        </w:trPr>
        <w:tc>
          <w:tcPr>
            <w:tcW w:w="0" w:type="auto"/>
            <w:vAlign w:val="center"/>
            <w:hideMark/>
          </w:tcPr>
          <w:p w14:paraId="0072C2C8"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Fixed Income</w:t>
            </w:r>
          </w:p>
        </w:tc>
        <w:tc>
          <w:tcPr>
            <w:tcW w:w="0" w:type="auto"/>
            <w:vAlign w:val="center"/>
            <w:hideMark/>
          </w:tcPr>
          <w:p w14:paraId="4DA72CBA"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30%</w:t>
            </w:r>
          </w:p>
        </w:tc>
        <w:tc>
          <w:tcPr>
            <w:tcW w:w="0" w:type="auto"/>
            <w:vAlign w:val="center"/>
            <w:hideMark/>
          </w:tcPr>
          <w:p w14:paraId="216BACA5"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$300,000</w:t>
            </w:r>
          </w:p>
        </w:tc>
      </w:tr>
      <w:tr w:rsidR="00082E8B" w:rsidRPr="00082E8B" w14:paraId="3D0E26B1" w14:textId="77777777" w:rsidTr="00D602CB">
        <w:trPr>
          <w:tblCellSpacing w:w="15" w:type="dxa"/>
        </w:trPr>
        <w:tc>
          <w:tcPr>
            <w:tcW w:w="0" w:type="auto"/>
            <w:vAlign w:val="center"/>
            <w:hideMark/>
          </w:tcPr>
          <w:p w14:paraId="1A34E853"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Real Estate</w:t>
            </w:r>
          </w:p>
        </w:tc>
        <w:tc>
          <w:tcPr>
            <w:tcW w:w="0" w:type="auto"/>
            <w:vAlign w:val="center"/>
            <w:hideMark/>
          </w:tcPr>
          <w:p w14:paraId="7AC17032"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10%</w:t>
            </w:r>
          </w:p>
        </w:tc>
        <w:tc>
          <w:tcPr>
            <w:tcW w:w="0" w:type="auto"/>
            <w:vAlign w:val="center"/>
            <w:hideMark/>
          </w:tcPr>
          <w:p w14:paraId="69FA2945"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$100,000</w:t>
            </w:r>
          </w:p>
        </w:tc>
      </w:tr>
      <w:tr w:rsidR="00082E8B" w:rsidRPr="00082E8B" w14:paraId="6160FBC2" w14:textId="77777777" w:rsidTr="00D602CB">
        <w:trPr>
          <w:tblCellSpacing w:w="15" w:type="dxa"/>
        </w:trPr>
        <w:tc>
          <w:tcPr>
            <w:tcW w:w="0" w:type="auto"/>
            <w:vAlign w:val="center"/>
            <w:hideMark/>
          </w:tcPr>
          <w:p w14:paraId="62EF19FB"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Alternative Investments</w:t>
            </w:r>
          </w:p>
        </w:tc>
        <w:tc>
          <w:tcPr>
            <w:tcW w:w="0" w:type="auto"/>
            <w:vAlign w:val="center"/>
            <w:hideMark/>
          </w:tcPr>
          <w:p w14:paraId="09C4AF8B"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w:t>
            </w:r>
          </w:p>
        </w:tc>
        <w:tc>
          <w:tcPr>
            <w:tcW w:w="0" w:type="auto"/>
            <w:vAlign w:val="center"/>
            <w:hideMark/>
          </w:tcPr>
          <w:p w14:paraId="598F168D"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$50,000</w:t>
            </w:r>
          </w:p>
        </w:tc>
      </w:tr>
      <w:tr w:rsidR="00082E8B" w:rsidRPr="00082E8B" w14:paraId="3D535E0B" w14:textId="77777777" w:rsidTr="00D602CB">
        <w:trPr>
          <w:tblCellSpacing w:w="15" w:type="dxa"/>
        </w:trPr>
        <w:tc>
          <w:tcPr>
            <w:tcW w:w="0" w:type="auto"/>
            <w:vAlign w:val="center"/>
            <w:hideMark/>
          </w:tcPr>
          <w:p w14:paraId="60A727D4"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Cash and Cash Equivalents</w:t>
            </w:r>
          </w:p>
        </w:tc>
        <w:tc>
          <w:tcPr>
            <w:tcW w:w="0" w:type="auto"/>
            <w:vAlign w:val="center"/>
            <w:hideMark/>
          </w:tcPr>
          <w:p w14:paraId="07AFCE81"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w:t>
            </w:r>
          </w:p>
        </w:tc>
        <w:tc>
          <w:tcPr>
            <w:tcW w:w="0" w:type="auto"/>
            <w:vAlign w:val="center"/>
            <w:hideMark/>
          </w:tcPr>
          <w:p w14:paraId="7E91E035"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$50,000</w:t>
            </w:r>
          </w:p>
        </w:tc>
      </w:tr>
      <w:tr w:rsidR="00082E8B" w:rsidRPr="00082E8B" w14:paraId="7519887C" w14:textId="77777777" w:rsidTr="00D602CB">
        <w:trPr>
          <w:tblCellSpacing w:w="15" w:type="dxa"/>
        </w:trPr>
        <w:tc>
          <w:tcPr>
            <w:tcW w:w="0" w:type="auto"/>
            <w:vAlign w:val="center"/>
            <w:hideMark/>
          </w:tcPr>
          <w:p w14:paraId="424BB186"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Total</w:t>
            </w:r>
          </w:p>
        </w:tc>
        <w:tc>
          <w:tcPr>
            <w:tcW w:w="0" w:type="auto"/>
            <w:vAlign w:val="center"/>
            <w:hideMark/>
          </w:tcPr>
          <w:p w14:paraId="6CE6403D"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100%</w:t>
            </w:r>
          </w:p>
        </w:tc>
        <w:tc>
          <w:tcPr>
            <w:tcW w:w="0" w:type="auto"/>
            <w:vAlign w:val="center"/>
            <w:hideMark/>
          </w:tcPr>
          <w:p w14:paraId="583B46D7"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$1,000,000</w:t>
            </w:r>
          </w:p>
        </w:tc>
      </w:tr>
    </w:tbl>
    <w:p w14:paraId="6F95E9D7" w14:textId="77777777" w:rsidR="00082E8B" w:rsidRPr="00082E8B" w:rsidRDefault="00082E8B" w:rsidP="00082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E8B">
        <w:rPr>
          <w:rFonts w:ascii="Times New Roman" w:eastAsia="Times New Roman" w:hAnsi="Times New Roman" w:cs="Times New Roman"/>
          <w:b/>
          <w:bCs/>
          <w:sz w:val="27"/>
          <w:szCs w:val="27"/>
          <w:lang w:eastAsia="en-IN"/>
        </w:rPr>
        <w:t>Treasury Management Services</w:t>
      </w:r>
    </w:p>
    <w:p w14:paraId="6538D36A" w14:textId="77777777" w:rsidR="00082E8B" w:rsidRPr="00082E8B" w:rsidRDefault="00082E8B" w:rsidP="00082E8B">
      <w:p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Treasury management services refer to the management of an organization's liquidity and cash flow to optimize their financial position.</w:t>
      </w:r>
    </w:p>
    <w:p w14:paraId="50138284" w14:textId="77777777" w:rsidR="00082E8B" w:rsidRPr="00082E8B" w:rsidRDefault="00082E8B" w:rsidP="00082E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Key Functions of Treasury Management:</w:t>
      </w:r>
    </w:p>
    <w:p w14:paraId="1782E935" w14:textId="77777777" w:rsidR="00082E8B" w:rsidRPr="00082E8B" w:rsidRDefault="00082E8B" w:rsidP="00082E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Cash Management</w:t>
      </w:r>
      <w:r w:rsidRPr="00082E8B">
        <w:rPr>
          <w:rFonts w:ascii="Times New Roman" w:eastAsia="Times New Roman" w:hAnsi="Times New Roman" w:cs="Times New Roman"/>
          <w:sz w:val="24"/>
          <w:szCs w:val="24"/>
          <w:lang w:eastAsia="en-IN"/>
        </w:rPr>
        <w:t>:</w:t>
      </w:r>
    </w:p>
    <w:p w14:paraId="14395546" w14:textId="77777777" w:rsidR="00082E8B" w:rsidRPr="00082E8B" w:rsidRDefault="00082E8B" w:rsidP="00082E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Forecasting cash flow</w:t>
      </w:r>
    </w:p>
    <w:p w14:paraId="768908B0" w14:textId="77777777" w:rsidR="00082E8B" w:rsidRPr="00082E8B" w:rsidRDefault="00082E8B" w:rsidP="00082E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Managing cash reserves</w:t>
      </w:r>
    </w:p>
    <w:p w14:paraId="021F32DD" w14:textId="77777777" w:rsidR="00082E8B" w:rsidRPr="00082E8B" w:rsidRDefault="00082E8B" w:rsidP="00082E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Risk Management</w:t>
      </w:r>
      <w:r w:rsidRPr="00082E8B">
        <w:rPr>
          <w:rFonts w:ascii="Times New Roman" w:eastAsia="Times New Roman" w:hAnsi="Times New Roman" w:cs="Times New Roman"/>
          <w:sz w:val="24"/>
          <w:szCs w:val="24"/>
          <w:lang w:eastAsia="en-IN"/>
        </w:rPr>
        <w:t>:</w:t>
      </w:r>
    </w:p>
    <w:p w14:paraId="01EF038F" w14:textId="77777777" w:rsidR="00082E8B" w:rsidRPr="00082E8B" w:rsidRDefault="00082E8B" w:rsidP="00082E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Hedging against currency risk</w:t>
      </w:r>
    </w:p>
    <w:p w14:paraId="49682C10" w14:textId="77777777" w:rsidR="00082E8B" w:rsidRPr="00082E8B" w:rsidRDefault="00082E8B" w:rsidP="00082E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Interest rate risk management</w:t>
      </w:r>
    </w:p>
    <w:p w14:paraId="3C6F4B9B" w14:textId="77777777" w:rsidR="00082E8B" w:rsidRPr="00082E8B" w:rsidRDefault="00082E8B" w:rsidP="00082E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lastRenderedPageBreak/>
        <w:t>Funding and Capital Management</w:t>
      </w:r>
      <w:r w:rsidRPr="00082E8B">
        <w:rPr>
          <w:rFonts w:ascii="Times New Roman" w:eastAsia="Times New Roman" w:hAnsi="Times New Roman" w:cs="Times New Roman"/>
          <w:sz w:val="24"/>
          <w:szCs w:val="24"/>
          <w:lang w:eastAsia="en-IN"/>
        </w:rPr>
        <w:t>:</w:t>
      </w:r>
    </w:p>
    <w:p w14:paraId="14B45DCA" w14:textId="77777777" w:rsidR="00082E8B" w:rsidRPr="00082E8B" w:rsidRDefault="00082E8B" w:rsidP="00082E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Debt issuance</w:t>
      </w:r>
    </w:p>
    <w:p w14:paraId="667ED81C" w14:textId="77777777" w:rsidR="00082E8B" w:rsidRPr="00082E8B" w:rsidRDefault="00082E8B" w:rsidP="00082E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Equity financing</w:t>
      </w:r>
    </w:p>
    <w:p w14:paraId="2B35A02F" w14:textId="77777777" w:rsidR="00082E8B" w:rsidRPr="00082E8B" w:rsidRDefault="00082E8B" w:rsidP="00082E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Investment Management</w:t>
      </w:r>
      <w:r w:rsidRPr="00082E8B">
        <w:rPr>
          <w:rFonts w:ascii="Times New Roman" w:eastAsia="Times New Roman" w:hAnsi="Times New Roman" w:cs="Times New Roman"/>
          <w:sz w:val="24"/>
          <w:szCs w:val="24"/>
          <w:lang w:eastAsia="en-IN"/>
        </w:rPr>
        <w:t>:</w:t>
      </w:r>
    </w:p>
    <w:p w14:paraId="434F0823" w14:textId="77777777" w:rsidR="00082E8B" w:rsidRPr="00082E8B" w:rsidRDefault="00082E8B" w:rsidP="00082E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Short-term investments</w:t>
      </w:r>
    </w:p>
    <w:p w14:paraId="49F7F11E" w14:textId="77777777" w:rsidR="00082E8B" w:rsidRPr="00082E8B" w:rsidRDefault="00082E8B" w:rsidP="00082E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Liquidity management</w:t>
      </w:r>
    </w:p>
    <w:p w14:paraId="47E9F3E6" w14:textId="62FB4E32" w:rsidR="00082E8B" w:rsidRPr="00082E8B" w:rsidRDefault="00082E8B" w:rsidP="00082E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Example of Cash Flow Forecast: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5"/>
        <w:gridCol w:w="2121"/>
        <w:gridCol w:w="2294"/>
        <w:gridCol w:w="2302"/>
      </w:tblGrid>
      <w:tr w:rsidR="00082E8B" w:rsidRPr="00082E8B" w14:paraId="292189F3" w14:textId="77777777" w:rsidTr="00D602CB">
        <w:trPr>
          <w:tblHeader/>
          <w:tblCellSpacing w:w="15" w:type="dxa"/>
        </w:trPr>
        <w:tc>
          <w:tcPr>
            <w:tcW w:w="0" w:type="auto"/>
            <w:vAlign w:val="center"/>
            <w:hideMark/>
          </w:tcPr>
          <w:p w14:paraId="753E9CE3"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Period</w:t>
            </w:r>
          </w:p>
        </w:tc>
        <w:tc>
          <w:tcPr>
            <w:tcW w:w="0" w:type="auto"/>
            <w:vAlign w:val="center"/>
            <w:hideMark/>
          </w:tcPr>
          <w:p w14:paraId="7E15A49A"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Cash Inflows (USD)</w:t>
            </w:r>
          </w:p>
        </w:tc>
        <w:tc>
          <w:tcPr>
            <w:tcW w:w="0" w:type="auto"/>
            <w:vAlign w:val="center"/>
            <w:hideMark/>
          </w:tcPr>
          <w:p w14:paraId="1F5896C4"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Cash Outflows (USD)</w:t>
            </w:r>
          </w:p>
        </w:tc>
        <w:tc>
          <w:tcPr>
            <w:tcW w:w="0" w:type="auto"/>
            <w:vAlign w:val="center"/>
            <w:hideMark/>
          </w:tcPr>
          <w:p w14:paraId="249CA98F"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Net Cash Flow (USD)</w:t>
            </w:r>
          </w:p>
        </w:tc>
      </w:tr>
      <w:tr w:rsidR="00082E8B" w:rsidRPr="00082E8B" w14:paraId="65F9BC84" w14:textId="77777777" w:rsidTr="00D602CB">
        <w:trPr>
          <w:tblCellSpacing w:w="15" w:type="dxa"/>
        </w:trPr>
        <w:tc>
          <w:tcPr>
            <w:tcW w:w="0" w:type="auto"/>
            <w:vAlign w:val="center"/>
            <w:hideMark/>
          </w:tcPr>
          <w:p w14:paraId="06B5EF32"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Q1</w:t>
            </w:r>
          </w:p>
        </w:tc>
        <w:tc>
          <w:tcPr>
            <w:tcW w:w="0" w:type="auto"/>
            <w:vAlign w:val="center"/>
            <w:hideMark/>
          </w:tcPr>
          <w:p w14:paraId="0CA60252"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$500,000</w:t>
            </w:r>
          </w:p>
        </w:tc>
        <w:tc>
          <w:tcPr>
            <w:tcW w:w="0" w:type="auto"/>
            <w:vAlign w:val="center"/>
            <w:hideMark/>
          </w:tcPr>
          <w:p w14:paraId="57B3BD42"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$450,000</w:t>
            </w:r>
          </w:p>
        </w:tc>
        <w:tc>
          <w:tcPr>
            <w:tcW w:w="0" w:type="auto"/>
            <w:vAlign w:val="center"/>
            <w:hideMark/>
          </w:tcPr>
          <w:p w14:paraId="25707308"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$50,000</w:t>
            </w:r>
          </w:p>
        </w:tc>
      </w:tr>
      <w:tr w:rsidR="00082E8B" w:rsidRPr="00082E8B" w14:paraId="7C223BE7" w14:textId="77777777" w:rsidTr="00D602CB">
        <w:trPr>
          <w:tblCellSpacing w:w="15" w:type="dxa"/>
        </w:trPr>
        <w:tc>
          <w:tcPr>
            <w:tcW w:w="0" w:type="auto"/>
            <w:vAlign w:val="center"/>
            <w:hideMark/>
          </w:tcPr>
          <w:p w14:paraId="38C20026"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Q2</w:t>
            </w:r>
          </w:p>
        </w:tc>
        <w:tc>
          <w:tcPr>
            <w:tcW w:w="0" w:type="auto"/>
            <w:vAlign w:val="center"/>
            <w:hideMark/>
          </w:tcPr>
          <w:p w14:paraId="058C96BD"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$600,000</w:t>
            </w:r>
          </w:p>
        </w:tc>
        <w:tc>
          <w:tcPr>
            <w:tcW w:w="0" w:type="auto"/>
            <w:vAlign w:val="center"/>
            <w:hideMark/>
          </w:tcPr>
          <w:p w14:paraId="7D7F7778"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$550,000</w:t>
            </w:r>
          </w:p>
        </w:tc>
        <w:tc>
          <w:tcPr>
            <w:tcW w:w="0" w:type="auto"/>
            <w:vAlign w:val="center"/>
            <w:hideMark/>
          </w:tcPr>
          <w:p w14:paraId="1E173A3F"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$50,000</w:t>
            </w:r>
          </w:p>
        </w:tc>
      </w:tr>
      <w:tr w:rsidR="00082E8B" w:rsidRPr="00082E8B" w14:paraId="66B9EC2D" w14:textId="77777777" w:rsidTr="00D602CB">
        <w:trPr>
          <w:tblCellSpacing w:w="15" w:type="dxa"/>
        </w:trPr>
        <w:tc>
          <w:tcPr>
            <w:tcW w:w="0" w:type="auto"/>
            <w:vAlign w:val="center"/>
            <w:hideMark/>
          </w:tcPr>
          <w:p w14:paraId="486115E3"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Q3</w:t>
            </w:r>
          </w:p>
        </w:tc>
        <w:tc>
          <w:tcPr>
            <w:tcW w:w="0" w:type="auto"/>
            <w:vAlign w:val="center"/>
            <w:hideMark/>
          </w:tcPr>
          <w:p w14:paraId="4F9180CD"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$700,000</w:t>
            </w:r>
          </w:p>
        </w:tc>
        <w:tc>
          <w:tcPr>
            <w:tcW w:w="0" w:type="auto"/>
            <w:vAlign w:val="center"/>
            <w:hideMark/>
          </w:tcPr>
          <w:p w14:paraId="1C07226C"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$600,000</w:t>
            </w:r>
          </w:p>
        </w:tc>
        <w:tc>
          <w:tcPr>
            <w:tcW w:w="0" w:type="auto"/>
            <w:vAlign w:val="center"/>
            <w:hideMark/>
          </w:tcPr>
          <w:p w14:paraId="58C05CEE"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$100,000</w:t>
            </w:r>
          </w:p>
        </w:tc>
      </w:tr>
      <w:tr w:rsidR="00082E8B" w:rsidRPr="00082E8B" w14:paraId="5755986F" w14:textId="77777777" w:rsidTr="00D602CB">
        <w:trPr>
          <w:tblCellSpacing w:w="15" w:type="dxa"/>
        </w:trPr>
        <w:tc>
          <w:tcPr>
            <w:tcW w:w="0" w:type="auto"/>
            <w:vAlign w:val="center"/>
            <w:hideMark/>
          </w:tcPr>
          <w:p w14:paraId="05A672C3"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Q4</w:t>
            </w:r>
          </w:p>
        </w:tc>
        <w:tc>
          <w:tcPr>
            <w:tcW w:w="0" w:type="auto"/>
            <w:vAlign w:val="center"/>
            <w:hideMark/>
          </w:tcPr>
          <w:p w14:paraId="5D8D5258"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$800,000</w:t>
            </w:r>
          </w:p>
        </w:tc>
        <w:tc>
          <w:tcPr>
            <w:tcW w:w="0" w:type="auto"/>
            <w:vAlign w:val="center"/>
            <w:hideMark/>
          </w:tcPr>
          <w:p w14:paraId="119CD9F4"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$750,000</w:t>
            </w:r>
          </w:p>
        </w:tc>
        <w:tc>
          <w:tcPr>
            <w:tcW w:w="0" w:type="auto"/>
            <w:vAlign w:val="center"/>
            <w:hideMark/>
          </w:tcPr>
          <w:p w14:paraId="49623344"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$50,000</w:t>
            </w:r>
          </w:p>
        </w:tc>
      </w:tr>
      <w:tr w:rsidR="00082E8B" w:rsidRPr="00082E8B" w14:paraId="4AAFD215" w14:textId="77777777" w:rsidTr="00D602CB">
        <w:trPr>
          <w:tblCellSpacing w:w="15" w:type="dxa"/>
        </w:trPr>
        <w:tc>
          <w:tcPr>
            <w:tcW w:w="0" w:type="auto"/>
            <w:vAlign w:val="center"/>
            <w:hideMark/>
          </w:tcPr>
          <w:p w14:paraId="09C5C746"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Total</w:t>
            </w:r>
          </w:p>
        </w:tc>
        <w:tc>
          <w:tcPr>
            <w:tcW w:w="0" w:type="auto"/>
            <w:vAlign w:val="center"/>
            <w:hideMark/>
          </w:tcPr>
          <w:p w14:paraId="037A7FF5"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$2,600,000</w:t>
            </w:r>
          </w:p>
        </w:tc>
        <w:tc>
          <w:tcPr>
            <w:tcW w:w="0" w:type="auto"/>
            <w:vAlign w:val="center"/>
            <w:hideMark/>
          </w:tcPr>
          <w:p w14:paraId="0D8B7DF9"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$2,350,000</w:t>
            </w:r>
          </w:p>
        </w:tc>
        <w:tc>
          <w:tcPr>
            <w:tcW w:w="0" w:type="auto"/>
            <w:vAlign w:val="center"/>
            <w:hideMark/>
          </w:tcPr>
          <w:p w14:paraId="3B6C7420"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$250,000</w:t>
            </w:r>
          </w:p>
        </w:tc>
      </w:tr>
    </w:tbl>
    <w:p w14:paraId="561B3D07" w14:textId="77777777" w:rsidR="00082E8B" w:rsidRPr="00082E8B" w:rsidRDefault="00082E8B" w:rsidP="00082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2E8B">
        <w:rPr>
          <w:rFonts w:ascii="Times New Roman" w:eastAsia="Times New Roman" w:hAnsi="Times New Roman" w:cs="Times New Roman"/>
          <w:b/>
          <w:bCs/>
          <w:sz w:val="27"/>
          <w:szCs w:val="27"/>
          <w:lang w:eastAsia="en-IN"/>
        </w:rPr>
        <w:t>Risk Management in Banking Operations</w:t>
      </w:r>
    </w:p>
    <w:p w14:paraId="6E0127BB" w14:textId="77777777" w:rsidR="00082E8B" w:rsidRPr="00082E8B" w:rsidRDefault="00082E8B" w:rsidP="00082E8B">
      <w:p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Risk management in banking involves identifying, assessing, and mitigating financial risks to ensure the stability and profitability of the bank.</w:t>
      </w:r>
    </w:p>
    <w:p w14:paraId="3D5E2A3E" w14:textId="77777777" w:rsidR="00082E8B" w:rsidRPr="00082E8B" w:rsidRDefault="00082E8B" w:rsidP="00082E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Types of Risks in Banking:</w:t>
      </w:r>
    </w:p>
    <w:p w14:paraId="6087695C" w14:textId="77777777" w:rsidR="00082E8B" w:rsidRPr="00082E8B" w:rsidRDefault="00082E8B" w:rsidP="00082E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Credit Risk</w:t>
      </w:r>
      <w:r w:rsidRPr="00082E8B">
        <w:rPr>
          <w:rFonts w:ascii="Times New Roman" w:eastAsia="Times New Roman" w:hAnsi="Times New Roman" w:cs="Times New Roman"/>
          <w:sz w:val="24"/>
          <w:szCs w:val="24"/>
          <w:lang w:eastAsia="en-IN"/>
        </w:rPr>
        <w:t>:</w:t>
      </w:r>
    </w:p>
    <w:p w14:paraId="45E1CA49" w14:textId="77777777" w:rsidR="00082E8B" w:rsidRPr="00082E8B" w:rsidRDefault="00082E8B" w:rsidP="00082E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Risk of borrower default</w:t>
      </w:r>
    </w:p>
    <w:p w14:paraId="021A2086" w14:textId="77777777" w:rsidR="00082E8B" w:rsidRPr="00082E8B" w:rsidRDefault="00082E8B" w:rsidP="00082E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Managed through credit analysis and collateral</w:t>
      </w:r>
    </w:p>
    <w:p w14:paraId="3F5E6B87" w14:textId="77777777" w:rsidR="00082E8B" w:rsidRPr="00082E8B" w:rsidRDefault="00082E8B" w:rsidP="00082E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Market Risk</w:t>
      </w:r>
      <w:r w:rsidRPr="00082E8B">
        <w:rPr>
          <w:rFonts w:ascii="Times New Roman" w:eastAsia="Times New Roman" w:hAnsi="Times New Roman" w:cs="Times New Roman"/>
          <w:sz w:val="24"/>
          <w:szCs w:val="24"/>
          <w:lang w:eastAsia="en-IN"/>
        </w:rPr>
        <w:t>:</w:t>
      </w:r>
    </w:p>
    <w:p w14:paraId="244FF263" w14:textId="77777777" w:rsidR="00082E8B" w:rsidRPr="00082E8B" w:rsidRDefault="00082E8B" w:rsidP="00082E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Risk from fluctuations in market prices</w:t>
      </w:r>
    </w:p>
    <w:p w14:paraId="2A12905D" w14:textId="77777777" w:rsidR="00082E8B" w:rsidRPr="00082E8B" w:rsidRDefault="00082E8B" w:rsidP="00082E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Managed through diversification and hedging</w:t>
      </w:r>
    </w:p>
    <w:p w14:paraId="253915CE" w14:textId="77777777" w:rsidR="00082E8B" w:rsidRPr="00082E8B" w:rsidRDefault="00082E8B" w:rsidP="00082E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Operational Risk</w:t>
      </w:r>
      <w:r w:rsidRPr="00082E8B">
        <w:rPr>
          <w:rFonts w:ascii="Times New Roman" w:eastAsia="Times New Roman" w:hAnsi="Times New Roman" w:cs="Times New Roman"/>
          <w:sz w:val="24"/>
          <w:szCs w:val="24"/>
          <w:lang w:eastAsia="en-IN"/>
        </w:rPr>
        <w:t>:</w:t>
      </w:r>
    </w:p>
    <w:p w14:paraId="1A064765" w14:textId="77777777" w:rsidR="00082E8B" w:rsidRPr="00082E8B" w:rsidRDefault="00082E8B" w:rsidP="00082E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Risk from internal processes and systems failures</w:t>
      </w:r>
    </w:p>
    <w:p w14:paraId="7DEDB312" w14:textId="77777777" w:rsidR="00082E8B" w:rsidRPr="00082E8B" w:rsidRDefault="00082E8B" w:rsidP="00082E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Managed through internal controls and audits</w:t>
      </w:r>
    </w:p>
    <w:p w14:paraId="22FBC163" w14:textId="77777777" w:rsidR="00082E8B" w:rsidRPr="00082E8B" w:rsidRDefault="00082E8B" w:rsidP="00082E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b/>
          <w:bCs/>
          <w:sz w:val="24"/>
          <w:szCs w:val="24"/>
          <w:lang w:eastAsia="en-IN"/>
        </w:rPr>
        <w:t>Liquidity Risk</w:t>
      </w:r>
      <w:r w:rsidRPr="00082E8B">
        <w:rPr>
          <w:rFonts w:ascii="Times New Roman" w:eastAsia="Times New Roman" w:hAnsi="Times New Roman" w:cs="Times New Roman"/>
          <w:sz w:val="24"/>
          <w:szCs w:val="24"/>
          <w:lang w:eastAsia="en-IN"/>
        </w:rPr>
        <w:t>:</w:t>
      </w:r>
    </w:p>
    <w:p w14:paraId="2F36B295" w14:textId="77777777" w:rsidR="00082E8B" w:rsidRPr="00082E8B" w:rsidRDefault="00082E8B" w:rsidP="00082E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Risk of being unable to meet short-term financial obligations</w:t>
      </w:r>
    </w:p>
    <w:p w14:paraId="606DB9C5" w14:textId="77777777" w:rsidR="00082E8B" w:rsidRPr="00082E8B" w:rsidRDefault="00082E8B" w:rsidP="00082E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Managed through maintaining adequate liquid assets</w:t>
      </w:r>
    </w:p>
    <w:p w14:paraId="6C7CAAE2" w14:textId="3CE1EEB3" w:rsidR="00082E8B" w:rsidRPr="00082E8B" w:rsidRDefault="00082E8B" w:rsidP="00082E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 xml:space="preserve">Example of Risk Assessment </w:t>
      </w:r>
      <w:proofErr w:type="gramStart"/>
      <w:r w:rsidRPr="00082E8B">
        <w:rPr>
          <w:rFonts w:ascii="Times New Roman" w:eastAsia="Times New Roman" w:hAnsi="Times New Roman" w:cs="Times New Roman"/>
          <w:b/>
          <w:bCs/>
          <w:sz w:val="24"/>
          <w:szCs w:val="24"/>
          <w:lang w:eastAsia="en-IN"/>
        </w:rPr>
        <w:t>Matrix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7"/>
        <w:gridCol w:w="1510"/>
        <w:gridCol w:w="1136"/>
        <w:gridCol w:w="2589"/>
        <w:gridCol w:w="2254"/>
      </w:tblGrid>
      <w:tr w:rsidR="00082E8B" w:rsidRPr="00082E8B" w14:paraId="1CB9B769" w14:textId="77777777" w:rsidTr="00D602CB">
        <w:trPr>
          <w:tblHeader/>
          <w:tblCellSpacing w:w="15" w:type="dxa"/>
        </w:trPr>
        <w:tc>
          <w:tcPr>
            <w:tcW w:w="0" w:type="auto"/>
            <w:vAlign w:val="center"/>
            <w:hideMark/>
          </w:tcPr>
          <w:p w14:paraId="05B484A9"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Risk Type</w:t>
            </w:r>
          </w:p>
        </w:tc>
        <w:tc>
          <w:tcPr>
            <w:tcW w:w="0" w:type="auto"/>
            <w:vAlign w:val="center"/>
            <w:hideMark/>
          </w:tcPr>
          <w:p w14:paraId="7951F1E0"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Likelihood (1-5)</w:t>
            </w:r>
          </w:p>
        </w:tc>
        <w:tc>
          <w:tcPr>
            <w:tcW w:w="0" w:type="auto"/>
            <w:vAlign w:val="center"/>
            <w:hideMark/>
          </w:tcPr>
          <w:p w14:paraId="57B91E34"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Impact (1-5)</w:t>
            </w:r>
          </w:p>
        </w:tc>
        <w:tc>
          <w:tcPr>
            <w:tcW w:w="0" w:type="auto"/>
            <w:vAlign w:val="center"/>
            <w:hideMark/>
          </w:tcPr>
          <w:p w14:paraId="73C8863B"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Risk Score (Likelihood x Impact)</w:t>
            </w:r>
          </w:p>
        </w:tc>
        <w:tc>
          <w:tcPr>
            <w:tcW w:w="0" w:type="auto"/>
            <w:vAlign w:val="center"/>
            <w:hideMark/>
          </w:tcPr>
          <w:p w14:paraId="6ED2815D" w14:textId="77777777" w:rsidR="00082E8B" w:rsidRPr="00082E8B" w:rsidRDefault="00082E8B" w:rsidP="00082E8B">
            <w:pPr>
              <w:spacing w:after="0" w:line="240" w:lineRule="auto"/>
              <w:jc w:val="center"/>
              <w:rPr>
                <w:rFonts w:ascii="Times New Roman" w:eastAsia="Times New Roman" w:hAnsi="Times New Roman" w:cs="Times New Roman"/>
                <w:b/>
                <w:bCs/>
                <w:sz w:val="24"/>
                <w:szCs w:val="24"/>
                <w:lang w:eastAsia="en-IN"/>
              </w:rPr>
            </w:pPr>
            <w:r w:rsidRPr="00082E8B">
              <w:rPr>
                <w:rFonts w:ascii="Times New Roman" w:eastAsia="Times New Roman" w:hAnsi="Times New Roman" w:cs="Times New Roman"/>
                <w:b/>
                <w:bCs/>
                <w:sz w:val="24"/>
                <w:szCs w:val="24"/>
                <w:lang w:eastAsia="en-IN"/>
              </w:rPr>
              <w:t>Mitigation Strategy</w:t>
            </w:r>
          </w:p>
        </w:tc>
      </w:tr>
      <w:tr w:rsidR="00082E8B" w:rsidRPr="00082E8B" w14:paraId="5D04B360" w14:textId="77777777" w:rsidTr="00D602CB">
        <w:trPr>
          <w:tblCellSpacing w:w="15" w:type="dxa"/>
        </w:trPr>
        <w:tc>
          <w:tcPr>
            <w:tcW w:w="0" w:type="auto"/>
            <w:vAlign w:val="center"/>
            <w:hideMark/>
          </w:tcPr>
          <w:p w14:paraId="1BBDFCE8"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Credit Risk</w:t>
            </w:r>
          </w:p>
        </w:tc>
        <w:tc>
          <w:tcPr>
            <w:tcW w:w="0" w:type="auto"/>
            <w:vAlign w:val="center"/>
            <w:hideMark/>
          </w:tcPr>
          <w:p w14:paraId="629C07E0"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4</w:t>
            </w:r>
          </w:p>
        </w:tc>
        <w:tc>
          <w:tcPr>
            <w:tcW w:w="0" w:type="auto"/>
            <w:vAlign w:val="center"/>
            <w:hideMark/>
          </w:tcPr>
          <w:p w14:paraId="16E7140A"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w:t>
            </w:r>
          </w:p>
        </w:tc>
        <w:tc>
          <w:tcPr>
            <w:tcW w:w="0" w:type="auto"/>
            <w:vAlign w:val="center"/>
            <w:hideMark/>
          </w:tcPr>
          <w:p w14:paraId="39F87A2E"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20</w:t>
            </w:r>
          </w:p>
        </w:tc>
        <w:tc>
          <w:tcPr>
            <w:tcW w:w="0" w:type="auto"/>
            <w:vAlign w:val="center"/>
            <w:hideMark/>
          </w:tcPr>
          <w:p w14:paraId="0C74198B"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Stringent credit policies</w:t>
            </w:r>
          </w:p>
        </w:tc>
      </w:tr>
      <w:tr w:rsidR="00082E8B" w:rsidRPr="00082E8B" w14:paraId="3B6A1ABF" w14:textId="77777777" w:rsidTr="00D602CB">
        <w:trPr>
          <w:tblCellSpacing w:w="15" w:type="dxa"/>
        </w:trPr>
        <w:tc>
          <w:tcPr>
            <w:tcW w:w="0" w:type="auto"/>
            <w:vAlign w:val="center"/>
            <w:hideMark/>
          </w:tcPr>
          <w:p w14:paraId="18624777"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Market Risk</w:t>
            </w:r>
          </w:p>
        </w:tc>
        <w:tc>
          <w:tcPr>
            <w:tcW w:w="0" w:type="auto"/>
            <w:vAlign w:val="center"/>
            <w:hideMark/>
          </w:tcPr>
          <w:p w14:paraId="0D5C4EB0"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3</w:t>
            </w:r>
          </w:p>
        </w:tc>
        <w:tc>
          <w:tcPr>
            <w:tcW w:w="0" w:type="auto"/>
            <w:vAlign w:val="center"/>
            <w:hideMark/>
          </w:tcPr>
          <w:p w14:paraId="29438118"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4</w:t>
            </w:r>
          </w:p>
        </w:tc>
        <w:tc>
          <w:tcPr>
            <w:tcW w:w="0" w:type="auto"/>
            <w:vAlign w:val="center"/>
            <w:hideMark/>
          </w:tcPr>
          <w:p w14:paraId="1DBC3051"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12</w:t>
            </w:r>
          </w:p>
        </w:tc>
        <w:tc>
          <w:tcPr>
            <w:tcW w:w="0" w:type="auto"/>
            <w:vAlign w:val="center"/>
            <w:hideMark/>
          </w:tcPr>
          <w:p w14:paraId="5796488D"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Hedging and diversification</w:t>
            </w:r>
          </w:p>
        </w:tc>
      </w:tr>
      <w:tr w:rsidR="00082E8B" w:rsidRPr="00082E8B" w14:paraId="57500041" w14:textId="77777777" w:rsidTr="00D602CB">
        <w:trPr>
          <w:tblCellSpacing w:w="15" w:type="dxa"/>
        </w:trPr>
        <w:tc>
          <w:tcPr>
            <w:tcW w:w="0" w:type="auto"/>
            <w:vAlign w:val="center"/>
            <w:hideMark/>
          </w:tcPr>
          <w:p w14:paraId="7090DCD6"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Operational Risk</w:t>
            </w:r>
          </w:p>
        </w:tc>
        <w:tc>
          <w:tcPr>
            <w:tcW w:w="0" w:type="auto"/>
            <w:vAlign w:val="center"/>
            <w:hideMark/>
          </w:tcPr>
          <w:p w14:paraId="0074FA94"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2</w:t>
            </w:r>
          </w:p>
        </w:tc>
        <w:tc>
          <w:tcPr>
            <w:tcW w:w="0" w:type="auto"/>
            <w:vAlign w:val="center"/>
            <w:hideMark/>
          </w:tcPr>
          <w:p w14:paraId="22BDA48F"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3</w:t>
            </w:r>
          </w:p>
        </w:tc>
        <w:tc>
          <w:tcPr>
            <w:tcW w:w="0" w:type="auto"/>
            <w:vAlign w:val="center"/>
            <w:hideMark/>
          </w:tcPr>
          <w:p w14:paraId="605EBC8B"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6</w:t>
            </w:r>
          </w:p>
        </w:tc>
        <w:tc>
          <w:tcPr>
            <w:tcW w:w="0" w:type="auto"/>
            <w:vAlign w:val="center"/>
            <w:hideMark/>
          </w:tcPr>
          <w:p w14:paraId="2D74077D"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Enhanced internal controls</w:t>
            </w:r>
          </w:p>
        </w:tc>
      </w:tr>
      <w:tr w:rsidR="00082E8B" w:rsidRPr="00082E8B" w14:paraId="30C4166F" w14:textId="77777777" w:rsidTr="00D602CB">
        <w:trPr>
          <w:tblCellSpacing w:w="15" w:type="dxa"/>
        </w:trPr>
        <w:tc>
          <w:tcPr>
            <w:tcW w:w="0" w:type="auto"/>
            <w:vAlign w:val="center"/>
            <w:hideMark/>
          </w:tcPr>
          <w:p w14:paraId="3326A025"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lastRenderedPageBreak/>
              <w:t>Liquidity Risk</w:t>
            </w:r>
          </w:p>
        </w:tc>
        <w:tc>
          <w:tcPr>
            <w:tcW w:w="0" w:type="auto"/>
            <w:vAlign w:val="center"/>
            <w:hideMark/>
          </w:tcPr>
          <w:p w14:paraId="6BDA7FCF"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3</w:t>
            </w:r>
          </w:p>
        </w:tc>
        <w:tc>
          <w:tcPr>
            <w:tcW w:w="0" w:type="auto"/>
            <w:vAlign w:val="center"/>
            <w:hideMark/>
          </w:tcPr>
          <w:p w14:paraId="38661645"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5</w:t>
            </w:r>
          </w:p>
        </w:tc>
        <w:tc>
          <w:tcPr>
            <w:tcW w:w="0" w:type="auto"/>
            <w:vAlign w:val="center"/>
            <w:hideMark/>
          </w:tcPr>
          <w:p w14:paraId="3F712876"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15</w:t>
            </w:r>
          </w:p>
        </w:tc>
        <w:tc>
          <w:tcPr>
            <w:tcW w:w="0" w:type="auto"/>
            <w:vAlign w:val="center"/>
            <w:hideMark/>
          </w:tcPr>
          <w:p w14:paraId="732A1713" w14:textId="77777777" w:rsidR="00082E8B" w:rsidRPr="00082E8B" w:rsidRDefault="00082E8B" w:rsidP="00082E8B">
            <w:pPr>
              <w:spacing w:after="0" w:line="240" w:lineRule="auto"/>
              <w:rPr>
                <w:rFonts w:ascii="Times New Roman" w:eastAsia="Times New Roman" w:hAnsi="Times New Roman" w:cs="Times New Roman"/>
                <w:sz w:val="24"/>
                <w:szCs w:val="24"/>
                <w:lang w:eastAsia="en-IN"/>
              </w:rPr>
            </w:pPr>
            <w:r w:rsidRPr="00082E8B">
              <w:rPr>
                <w:rFonts w:ascii="Times New Roman" w:eastAsia="Times New Roman" w:hAnsi="Times New Roman" w:cs="Times New Roman"/>
                <w:sz w:val="24"/>
                <w:szCs w:val="24"/>
                <w:lang w:eastAsia="en-IN"/>
              </w:rPr>
              <w:t>Maintain liquid assets</w:t>
            </w:r>
          </w:p>
        </w:tc>
      </w:tr>
    </w:tbl>
    <w:p w14:paraId="4357034E" w14:textId="77777777" w:rsidR="00D324F6" w:rsidRDefault="00D324F6" w:rsidP="00D602CB">
      <w:pPr>
        <w:spacing w:before="100" w:beforeAutospacing="1" w:after="100" w:afterAutospacing="1" w:line="240" w:lineRule="auto"/>
        <w:outlineLvl w:val="2"/>
      </w:pPr>
    </w:p>
    <w:sectPr w:rsidR="00D32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F3C01"/>
    <w:multiLevelType w:val="multilevel"/>
    <w:tmpl w:val="7730F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94E40"/>
    <w:multiLevelType w:val="multilevel"/>
    <w:tmpl w:val="412E0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57F8F"/>
    <w:multiLevelType w:val="multilevel"/>
    <w:tmpl w:val="AEE4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10134A"/>
    <w:multiLevelType w:val="multilevel"/>
    <w:tmpl w:val="8312D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C3FD2"/>
    <w:multiLevelType w:val="multilevel"/>
    <w:tmpl w:val="38D6C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8B"/>
    <w:rsid w:val="00082E8B"/>
    <w:rsid w:val="008E3B05"/>
    <w:rsid w:val="00D324F6"/>
    <w:rsid w:val="00D60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D1EE"/>
  <w15:chartTrackingRefBased/>
  <w15:docId w15:val="{6CB8CDED-7F31-4A30-9B85-8BD230E6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2E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82E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E8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82E8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82E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2E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1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reddy</dc:creator>
  <cp:keywords/>
  <dc:description/>
  <cp:lastModifiedBy>GOTLA SHIVANI</cp:lastModifiedBy>
  <cp:revision>2</cp:revision>
  <dcterms:created xsi:type="dcterms:W3CDTF">2024-06-19T13:29:00Z</dcterms:created>
  <dcterms:modified xsi:type="dcterms:W3CDTF">2024-06-19T13:29:00Z</dcterms:modified>
</cp:coreProperties>
</file>