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5D57E" w14:textId="77777777" w:rsidR="001C0873" w:rsidRDefault="00D817DC" w:rsidP="001C0873">
      <w:pPr>
        <w:jc w:val="center"/>
        <w:rPr>
          <w:rFonts w:ascii="Times New Roman" w:hAnsi="Times New Roman" w:cs="Times New Roman"/>
          <w:b/>
          <w:bCs/>
          <w:sz w:val="36"/>
          <w:szCs w:val="36"/>
        </w:rPr>
      </w:pPr>
      <w:r w:rsidRPr="001C0873">
        <w:rPr>
          <w:rFonts w:ascii="Times New Roman" w:hAnsi="Times New Roman" w:cs="Times New Roman"/>
          <w:b/>
          <w:bCs/>
          <w:sz w:val="36"/>
          <w:szCs w:val="36"/>
        </w:rPr>
        <w:t>Globalization – US banking System</w:t>
      </w:r>
    </w:p>
    <w:p w14:paraId="7DAE4AA7" w14:textId="77777777" w:rsidR="001C0873" w:rsidRDefault="001C0873" w:rsidP="001C0873">
      <w:pPr>
        <w:rPr>
          <w:rFonts w:ascii="Times New Roman" w:hAnsi="Times New Roman" w:cs="Times New Roman"/>
          <w:b/>
          <w:bCs/>
          <w:sz w:val="36"/>
          <w:szCs w:val="36"/>
        </w:rPr>
      </w:pPr>
    </w:p>
    <w:p w14:paraId="1188733C" w14:textId="348C192B" w:rsidR="00D817DC" w:rsidRPr="00D817DC" w:rsidRDefault="00D817DC" w:rsidP="001C0873">
      <w:pPr>
        <w:rPr>
          <w:rFonts w:ascii="Times New Roman" w:hAnsi="Times New Roman" w:cs="Times New Roman"/>
          <w:b/>
          <w:bCs/>
          <w:sz w:val="28"/>
          <w:szCs w:val="28"/>
        </w:rPr>
      </w:pPr>
      <w:r w:rsidRPr="00D817DC">
        <w:rPr>
          <w:rFonts w:ascii="Times New Roman" w:hAnsi="Times New Roman" w:cs="Times New Roman"/>
          <w:b/>
          <w:bCs/>
          <w:sz w:val="28"/>
          <w:szCs w:val="28"/>
        </w:rPr>
        <w:t>1. Increased Cross-Border Banking Activities</w:t>
      </w:r>
    </w:p>
    <w:p w14:paraId="76E09744" w14:textId="2272E62D"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Globalization has led to increased cross-border banking activities. U.S. banks have expanded their operations internationally, establishing branches and subsidiaries in foreign countries. This expansion allows them to access new markets, diversify their portfolios, and serve multinational corporations better.</w:t>
      </w:r>
    </w:p>
    <w:p w14:paraId="2117F581"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2. Enhanced Competition</w:t>
      </w:r>
    </w:p>
    <w:p w14:paraId="305A80B9" w14:textId="2CF5096A"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The globalization of financial markets has intensified competition among banks. U.S. banks now compete not only with domestic institutions but also with foreign banks operating in the U.S. This competition has driven innovation, improved efficiency, and led to the development of new financial products and services.</w:t>
      </w:r>
    </w:p>
    <w:p w14:paraId="1B090A82"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3. Capital Flows and Investment Opportunities</w:t>
      </w:r>
    </w:p>
    <w:p w14:paraId="199D35C3" w14:textId="4F7702C5"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Globalization has facilitated greater capital flows into and out of the U.S. financial system. U.S. banks have more opportunities to invest in foreign assets and attract foreign investments. This has helped diversify their revenue streams and manage risks more effectively.</w:t>
      </w:r>
    </w:p>
    <w:p w14:paraId="3F2443B8"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4. Regulatory Challenges</w:t>
      </w:r>
    </w:p>
    <w:p w14:paraId="4F5D9BC7" w14:textId="23B2228C"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The global expansion of banking activities has posed regulatory challenges. Ensuring compliance with different regulatory frameworks across countries is complex. U.S. banks must navigate varying regulations related to capital requirements, anti-money laundering (AML), and know-your-customer (KYC) policies. Coordination among international regulatory bodies, such as the Basel Committee on Banking Supervision, has become crucial.</w:t>
      </w:r>
    </w:p>
    <w:p w14:paraId="552E12CF"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5. Financial Stability and Systemic Risk</w:t>
      </w:r>
    </w:p>
    <w:p w14:paraId="509F8A05" w14:textId="0F97335F"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The interconnectedness of global financial markets means that financial instability in one part of the world can quickly spread to other regions. The U.S. banking system is not immune to such systemic risks. The 2008 financial crisis illustrated how problems in the U.S. subprime mortgage market had global repercussions. Consequently, U.S. regulators have placed greater emphasis on monitoring systemic risks and enhancing the resilience of the banking system</w:t>
      </w:r>
      <w:r w:rsidR="001C0873">
        <w:rPr>
          <w:rFonts w:ascii="Times New Roman" w:hAnsi="Times New Roman" w:cs="Times New Roman"/>
          <w:sz w:val="28"/>
          <w:szCs w:val="28"/>
        </w:rPr>
        <w:t>.</w:t>
      </w:r>
    </w:p>
    <w:p w14:paraId="137EB357"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lastRenderedPageBreak/>
        <w:t>6. Technological Advancements</w:t>
      </w:r>
    </w:p>
    <w:p w14:paraId="7EB2DC0E"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Globalization has driven technological advancements in the banking sector. U.S. banks have adopted cutting-edge technologies to improve their services, enhance security, and streamline operations. These technologies include digital banking platforms, blockchain, artificial intelligence, and big data analytics.</w:t>
      </w:r>
    </w:p>
    <w:p w14:paraId="57A35F86"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7. Cultural and Workforce Diversity</w:t>
      </w:r>
    </w:p>
    <w:p w14:paraId="319478A3"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Globalization has also brought cultural diversity to the U.S. banking workforce. Banks employ professionals from various cultural and educational backgrounds, which fosters a more inclusive and dynamic work environment. This diversity can lead to better decision-making and a broader understanding of global markets.</w:t>
      </w:r>
    </w:p>
    <w:p w14:paraId="128D2AEA"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8. Global Standards and Best Practices</w:t>
      </w:r>
    </w:p>
    <w:p w14:paraId="4CB41E76"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U.S. banks have adopted global standards and best practices to remain competitive and compliant with international norms. These standards cover areas such as corporate governance, risk management, and financial reporting. Adopting global best practices helps U.S. banks build credibility and trust with international clients and investors.</w:t>
      </w:r>
    </w:p>
    <w:p w14:paraId="127F8D40"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9. Mergers and Acquisitions</w:t>
      </w:r>
    </w:p>
    <w:p w14:paraId="425A7CE8"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Globalization has fueled mergers and acquisitions (M&amp;A) activity in the banking sector. U.S. banks have engaged in M&amp;A to expand their global footprint, acquire new capabilities, and achieve economies of scale. These transactions can enhance their competitiveness but also require careful integration and management of acquired entities.</w:t>
      </w:r>
    </w:p>
    <w:p w14:paraId="78E4A7DC" w14:textId="004762BB"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Conclusion</w:t>
      </w:r>
    </w:p>
    <w:p w14:paraId="5EDBC38E" w14:textId="77777777" w:rsidR="001C0873" w:rsidRDefault="00D817DC" w:rsidP="001C0873">
      <w:pPr>
        <w:rPr>
          <w:rFonts w:ascii="Times New Roman" w:hAnsi="Times New Roman" w:cs="Times New Roman"/>
          <w:sz w:val="28"/>
          <w:szCs w:val="28"/>
        </w:rPr>
      </w:pPr>
      <w:r w:rsidRPr="00D817DC">
        <w:rPr>
          <w:rFonts w:ascii="Times New Roman" w:hAnsi="Times New Roman" w:cs="Times New Roman"/>
          <w:sz w:val="28"/>
          <w:szCs w:val="28"/>
        </w:rPr>
        <w:t>Globalization has profoundly impacted the U.S. banking system, offering both opportunities and challenges. U.S. banks have become more global in their operations, faced increased competition, and had to navigate complex regulatory landscapes. At the same time, they have benefited from technological advancements, diverse workforces, and greater investment opportunities. Balancing these factors is crucial for maintaining stability and growth in the U.S. banking system in an increasingly interconnected world</w:t>
      </w:r>
    </w:p>
    <w:p w14:paraId="3F61EE75" w14:textId="77777777" w:rsidR="001C0873" w:rsidRDefault="001C0873" w:rsidP="001C0873">
      <w:pPr>
        <w:rPr>
          <w:rFonts w:ascii="Times New Roman" w:hAnsi="Times New Roman" w:cs="Times New Roman"/>
          <w:sz w:val="28"/>
          <w:szCs w:val="28"/>
        </w:rPr>
      </w:pPr>
    </w:p>
    <w:p w14:paraId="1A6BF817" w14:textId="77777777" w:rsidR="001C0873" w:rsidRDefault="001C0873" w:rsidP="001C0873">
      <w:pPr>
        <w:rPr>
          <w:rFonts w:ascii="Times New Roman" w:hAnsi="Times New Roman" w:cs="Times New Roman"/>
          <w:sz w:val="28"/>
          <w:szCs w:val="28"/>
        </w:rPr>
      </w:pPr>
    </w:p>
    <w:p w14:paraId="77B78A8B" w14:textId="3B1958A8" w:rsidR="00D817DC" w:rsidRPr="001C0873" w:rsidRDefault="00D817DC" w:rsidP="001C0873">
      <w:pPr>
        <w:rPr>
          <w:rFonts w:ascii="Times New Roman" w:hAnsi="Times New Roman" w:cs="Times New Roman"/>
          <w:sz w:val="28"/>
          <w:szCs w:val="28"/>
        </w:rPr>
      </w:pPr>
      <w:r w:rsidRPr="00D817DC">
        <w:rPr>
          <w:rFonts w:ascii="Times New Roman" w:hAnsi="Times New Roman" w:cs="Times New Roman"/>
          <w:b/>
          <w:bCs/>
          <w:sz w:val="32"/>
          <w:szCs w:val="32"/>
        </w:rPr>
        <w:lastRenderedPageBreak/>
        <w:t>Financial Initiatives taken by US banking</w:t>
      </w:r>
    </w:p>
    <w:p w14:paraId="275AA809" w14:textId="0222AB32" w:rsidR="00D817DC" w:rsidRPr="00D817DC" w:rsidRDefault="00D817DC" w:rsidP="00D817DC">
      <w:pPr>
        <w:rPr>
          <w:rFonts w:ascii="Times New Roman" w:hAnsi="Times New Roman" w:cs="Times New Roman"/>
          <w:sz w:val="28"/>
          <w:szCs w:val="28"/>
        </w:rPr>
      </w:pPr>
      <w:r>
        <w:rPr>
          <w:rFonts w:ascii="Times New Roman" w:hAnsi="Times New Roman" w:cs="Times New Roman"/>
          <w:sz w:val="28"/>
          <w:szCs w:val="28"/>
        </w:rPr>
        <w:t>Finan</w:t>
      </w:r>
      <w:r w:rsidRPr="00D817DC">
        <w:rPr>
          <w:rFonts w:ascii="Times New Roman" w:hAnsi="Times New Roman" w:cs="Times New Roman"/>
          <w:sz w:val="28"/>
          <w:szCs w:val="28"/>
        </w:rPr>
        <w:t>cial inclusion initiatives in the U.S. banking system aim to provide underserved and unbanked populations with access to affordable and essential financial services. These initiatives encompass a range of strategies and programs to ensure that individuals and businesses can participate fully in the financial system. Here are some key financial inclusion initiatives undertaken by U.S. banks and financial institutions:</w:t>
      </w:r>
    </w:p>
    <w:p w14:paraId="5BED1857"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1. Community Development Financial Institutions (CDFIs)</w:t>
      </w:r>
    </w:p>
    <w:p w14:paraId="31CBAEDA"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CDFIs are specialized financial institutions that work in underserved markets and provide a range of financial services, including lending, investment, and financial education. They receive support from the U.S. Department of the Treasury's CDFI Fund, which offers grants, loans, and tax credits to promote economic revitalization and community development.</w:t>
      </w:r>
    </w:p>
    <w:p w14:paraId="6DFFB497"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2. Low-Cost Banking Products</w:t>
      </w:r>
    </w:p>
    <w:p w14:paraId="05BFE511"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Many banks have developed low-cost or no-fee checking and savings accounts to make banking more accessible. These accounts often have no minimum balance requirements and lower fees, targeting individuals who might otherwise rely on expensive alternative financial services like check-cashing stores or payday lenders.</w:t>
      </w:r>
    </w:p>
    <w:p w14:paraId="2DC37958"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3. Mobile and Digital Banking Services</w:t>
      </w:r>
    </w:p>
    <w:p w14:paraId="3F12F957"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Advances in mobile and digital banking technologies have made it easier for people to access banking services without the need to visit a physical branch. Mobile banking apps, online account management, and digital payment systems are crucial tools in reaching rural and underserved urban populations.</w:t>
      </w:r>
    </w:p>
    <w:p w14:paraId="55F44650"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4. Financial Literacy Programs</w:t>
      </w:r>
    </w:p>
    <w:p w14:paraId="173A3E63"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Banks and financial institutions offer financial literacy and education programs to help individuals understand how to manage their finances, build credit, and make informed financial decisions. These programs are often provided through partnerships with community organizations, schools, and non-profits.</w:t>
      </w:r>
    </w:p>
    <w:p w14:paraId="30780ED8"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5. Small Business Lending</w:t>
      </w:r>
    </w:p>
    <w:p w14:paraId="08DE34C3"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 xml:space="preserve">To support small businesses, particularly those in underserved communities, banks have created specialized lending programs. These programs often provide </w:t>
      </w:r>
      <w:r w:rsidRPr="00D817DC">
        <w:rPr>
          <w:rFonts w:ascii="Times New Roman" w:hAnsi="Times New Roman" w:cs="Times New Roman"/>
          <w:sz w:val="28"/>
          <w:szCs w:val="28"/>
        </w:rPr>
        <w:lastRenderedPageBreak/>
        <w:t>microloans, flexible credit terms, and technical assistance to help small businesses grow and thrive.</w:t>
      </w:r>
    </w:p>
    <w:p w14:paraId="4F9ACA78"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6. Partnerships with Non-Profits and Community Organizations</w:t>
      </w:r>
    </w:p>
    <w:p w14:paraId="00564F30"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Banks collaborate with non-profits and community organizations to extend their reach and impact. These partnerships help banks understand the unique needs of different communities and develop tailored financial products and services.</w:t>
      </w:r>
    </w:p>
    <w:p w14:paraId="0A28A601"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 xml:space="preserve">7. Bank </w:t>
      </w:r>
      <w:proofErr w:type="gramStart"/>
      <w:r w:rsidRPr="00D817DC">
        <w:rPr>
          <w:rFonts w:ascii="Times New Roman" w:hAnsi="Times New Roman" w:cs="Times New Roman"/>
          <w:b/>
          <w:bCs/>
          <w:sz w:val="28"/>
          <w:szCs w:val="28"/>
        </w:rPr>
        <w:t>On</w:t>
      </w:r>
      <w:proofErr w:type="gramEnd"/>
      <w:r w:rsidRPr="00D817DC">
        <w:rPr>
          <w:rFonts w:ascii="Times New Roman" w:hAnsi="Times New Roman" w:cs="Times New Roman"/>
          <w:b/>
          <w:bCs/>
          <w:sz w:val="28"/>
          <w:szCs w:val="28"/>
        </w:rPr>
        <w:t xml:space="preserve"> Initiative</w:t>
      </w:r>
    </w:p>
    <w:p w14:paraId="5475255E"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The Bank On initiative, led by the Cities for Financial Empowerment Fund, works with local coalitions and financial institutions to expand access to safe and affordable banking products. The initiative sets national standards for bank accounts that are low-cost and accessible, and it promotes these accounts through community outreach.</w:t>
      </w:r>
    </w:p>
    <w:p w14:paraId="2D27676C"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8. Community Reinvestment Act (CRA)</w:t>
      </w:r>
    </w:p>
    <w:p w14:paraId="5BB77472"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The CRA requires banks to meet the credit needs of the communities in which they operate, particularly low- and moderate-income neighborhoods. Banks are evaluated on their efforts to provide loans, investments, and services to these communities, encouraging them to focus on financial inclusion.</w:t>
      </w:r>
    </w:p>
    <w:p w14:paraId="27FB2DEE"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9. Employer-Based Programs</w:t>
      </w:r>
    </w:p>
    <w:p w14:paraId="6A1DC83E"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Some banks offer financial services and literacy programs directly through employers, making it easier for employees to access banking services, save for emergencies, and manage their finances effectively. These programs can include direct deposit services, financial counseling, and savings programs.</w:t>
      </w:r>
    </w:p>
    <w:p w14:paraId="1397E8FD"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10. Innovative Credit Scoring Models</w:t>
      </w:r>
    </w:p>
    <w:p w14:paraId="45D1EC0E"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To include individuals with limited credit histories, some financial institutions are developing alternative credit scoring models that consider non-traditional data, such as utility payments, rental history, and other financial behaviors. These models help expand access to credit for those who might be overlooked by traditional credit scoring systems.</w:t>
      </w:r>
    </w:p>
    <w:p w14:paraId="2159AD21"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11. Branch Banking in Underserved Areas</w:t>
      </w:r>
    </w:p>
    <w:p w14:paraId="08538EE1"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 xml:space="preserve">Banks are opening or maintaining branches in underserved urban and rural areas to ensure that these communities have physical access to banking services. In some </w:t>
      </w:r>
      <w:r w:rsidRPr="00D817DC">
        <w:rPr>
          <w:rFonts w:ascii="Times New Roman" w:hAnsi="Times New Roman" w:cs="Times New Roman"/>
          <w:sz w:val="28"/>
          <w:szCs w:val="28"/>
        </w:rPr>
        <w:lastRenderedPageBreak/>
        <w:t>cases, banks operate satellite branches or mobile banking units to reach remote locations.</w:t>
      </w:r>
    </w:p>
    <w:p w14:paraId="089CF095"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12. Support for Immigrant and Refugee Communities</w:t>
      </w:r>
    </w:p>
    <w:p w14:paraId="07C6495E"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Banks are creating programs specifically designed to support immigrant and refugee communities, such as offering accounts without requiring a Social Security number, providing multilingual services, and educating about the U.S. financial system.</w:t>
      </w:r>
    </w:p>
    <w:p w14:paraId="5CF94854" w14:textId="77777777" w:rsidR="00D817DC" w:rsidRPr="00D817DC" w:rsidRDefault="00D817DC" w:rsidP="00D817DC">
      <w:pPr>
        <w:rPr>
          <w:rFonts w:ascii="Times New Roman" w:hAnsi="Times New Roman" w:cs="Times New Roman"/>
          <w:b/>
          <w:bCs/>
          <w:sz w:val="28"/>
          <w:szCs w:val="28"/>
        </w:rPr>
      </w:pPr>
      <w:r w:rsidRPr="00D817DC">
        <w:rPr>
          <w:rFonts w:ascii="Times New Roman" w:hAnsi="Times New Roman" w:cs="Times New Roman"/>
          <w:b/>
          <w:bCs/>
          <w:sz w:val="28"/>
          <w:szCs w:val="28"/>
        </w:rPr>
        <w:t>Conclusion</w:t>
      </w:r>
    </w:p>
    <w:p w14:paraId="6258ACA9" w14:textId="77777777" w:rsidR="00D817DC" w:rsidRPr="00D817DC" w:rsidRDefault="00D817DC" w:rsidP="00D817DC">
      <w:pPr>
        <w:rPr>
          <w:rFonts w:ascii="Times New Roman" w:hAnsi="Times New Roman" w:cs="Times New Roman"/>
          <w:sz w:val="28"/>
          <w:szCs w:val="28"/>
        </w:rPr>
      </w:pPr>
      <w:r w:rsidRPr="00D817DC">
        <w:rPr>
          <w:rFonts w:ascii="Times New Roman" w:hAnsi="Times New Roman" w:cs="Times New Roman"/>
          <w:sz w:val="28"/>
          <w:szCs w:val="28"/>
        </w:rPr>
        <w:t>These financial inclusion initiatives are vital for ensuring that all individuals and businesses, regardless of their socioeconomic status, have access to essential financial services. By continuing to innovate and collaborate with community partners, the U.S. banking system can help promote economic stability and growth, reduce poverty, and improve the overall financial well-being of underserved populations.</w:t>
      </w:r>
    </w:p>
    <w:p w14:paraId="02C4F024" w14:textId="77777777" w:rsidR="000D18BF" w:rsidRDefault="000D18BF" w:rsidP="000D18BF">
      <w:pPr>
        <w:jc w:val="center"/>
        <w:rPr>
          <w:rFonts w:ascii="Times New Roman" w:hAnsi="Times New Roman" w:cs="Times New Roman"/>
          <w:b/>
          <w:bCs/>
          <w:sz w:val="32"/>
          <w:szCs w:val="32"/>
        </w:rPr>
      </w:pPr>
    </w:p>
    <w:p w14:paraId="43D5AD16" w14:textId="77777777" w:rsidR="000D18BF" w:rsidRDefault="000D18BF" w:rsidP="000D18BF">
      <w:pPr>
        <w:jc w:val="center"/>
        <w:rPr>
          <w:rFonts w:ascii="Times New Roman" w:hAnsi="Times New Roman" w:cs="Times New Roman"/>
          <w:b/>
          <w:bCs/>
          <w:sz w:val="32"/>
          <w:szCs w:val="32"/>
        </w:rPr>
      </w:pPr>
    </w:p>
    <w:p w14:paraId="6B0BEE4D" w14:textId="77777777" w:rsidR="000D18BF" w:rsidRDefault="000D18BF" w:rsidP="000D18BF">
      <w:pPr>
        <w:jc w:val="center"/>
        <w:rPr>
          <w:rFonts w:ascii="Times New Roman" w:hAnsi="Times New Roman" w:cs="Times New Roman"/>
          <w:b/>
          <w:bCs/>
          <w:sz w:val="32"/>
          <w:szCs w:val="32"/>
        </w:rPr>
      </w:pPr>
    </w:p>
    <w:p w14:paraId="00BC3C12" w14:textId="77777777" w:rsidR="000D18BF" w:rsidRDefault="000D18BF" w:rsidP="000D18BF">
      <w:pPr>
        <w:jc w:val="center"/>
        <w:rPr>
          <w:rFonts w:ascii="Times New Roman" w:hAnsi="Times New Roman" w:cs="Times New Roman"/>
          <w:b/>
          <w:bCs/>
          <w:sz w:val="32"/>
          <w:szCs w:val="32"/>
        </w:rPr>
      </w:pPr>
    </w:p>
    <w:p w14:paraId="071D496F" w14:textId="77777777" w:rsidR="000D18BF" w:rsidRDefault="000D18BF" w:rsidP="000D18BF">
      <w:pPr>
        <w:jc w:val="center"/>
        <w:rPr>
          <w:rFonts w:ascii="Times New Roman" w:hAnsi="Times New Roman" w:cs="Times New Roman"/>
          <w:b/>
          <w:bCs/>
          <w:sz w:val="32"/>
          <w:szCs w:val="32"/>
        </w:rPr>
      </w:pPr>
    </w:p>
    <w:p w14:paraId="7C34F20E" w14:textId="77777777" w:rsidR="000D18BF" w:rsidRDefault="000D18BF" w:rsidP="000D18BF">
      <w:pPr>
        <w:jc w:val="center"/>
        <w:rPr>
          <w:rFonts w:ascii="Times New Roman" w:hAnsi="Times New Roman" w:cs="Times New Roman"/>
          <w:b/>
          <w:bCs/>
          <w:sz w:val="32"/>
          <w:szCs w:val="32"/>
        </w:rPr>
      </w:pPr>
    </w:p>
    <w:p w14:paraId="5547197E" w14:textId="77777777" w:rsidR="000D18BF" w:rsidRDefault="000D18BF" w:rsidP="000D18BF">
      <w:pPr>
        <w:jc w:val="center"/>
        <w:rPr>
          <w:rFonts w:ascii="Times New Roman" w:hAnsi="Times New Roman" w:cs="Times New Roman"/>
          <w:b/>
          <w:bCs/>
          <w:sz w:val="32"/>
          <w:szCs w:val="32"/>
        </w:rPr>
      </w:pPr>
    </w:p>
    <w:p w14:paraId="4877DD62" w14:textId="77777777" w:rsidR="000D18BF" w:rsidRDefault="000D18BF" w:rsidP="000D18BF">
      <w:pPr>
        <w:jc w:val="center"/>
        <w:rPr>
          <w:rFonts w:ascii="Times New Roman" w:hAnsi="Times New Roman" w:cs="Times New Roman"/>
          <w:b/>
          <w:bCs/>
          <w:sz w:val="32"/>
          <w:szCs w:val="32"/>
        </w:rPr>
      </w:pPr>
    </w:p>
    <w:p w14:paraId="51BCEA98" w14:textId="77777777" w:rsidR="000D18BF" w:rsidRDefault="000D18BF" w:rsidP="000D18BF">
      <w:pPr>
        <w:jc w:val="center"/>
        <w:rPr>
          <w:rFonts w:ascii="Times New Roman" w:hAnsi="Times New Roman" w:cs="Times New Roman"/>
          <w:b/>
          <w:bCs/>
          <w:sz w:val="32"/>
          <w:szCs w:val="32"/>
        </w:rPr>
      </w:pPr>
    </w:p>
    <w:p w14:paraId="7C4CF002" w14:textId="77777777" w:rsidR="000D18BF" w:rsidRDefault="000D18BF" w:rsidP="000D18BF">
      <w:pPr>
        <w:jc w:val="center"/>
        <w:rPr>
          <w:rFonts w:ascii="Times New Roman" w:hAnsi="Times New Roman" w:cs="Times New Roman"/>
          <w:b/>
          <w:bCs/>
          <w:sz w:val="32"/>
          <w:szCs w:val="32"/>
        </w:rPr>
      </w:pPr>
    </w:p>
    <w:p w14:paraId="5B420686" w14:textId="566AF7C0" w:rsidR="000D18BF" w:rsidRDefault="000D18BF" w:rsidP="000D18BF">
      <w:pPr>
        <w:jc w:val="center"/>
        <w:rPr>
          <w:rFonts w:ascii="Times New Roman" w:hAnsi="Times New Roman" w:cs="Times New Roman"/>
          <w:b/>
          <w:bCs/>
          <w:sz w:val="32"/>
          <w:szCs w:val="32"/>
        </w:rPr>
      </w:pPr>
    </w:p>
    <w:p w14:paraId="60AF6EF8" w14:textId="4541015A" w:rsidR="001C0873" w:rsidRDefault="001C0873" w:rsidP="000D18BF">
      <w:pPr>
        <w:jc w:val="center"/>
        <w:rPr>
          <w:rFonts w:ascii="Times New Roman" w:hAnsi="Times New Roman" w:cs="Times New Roman"/>
          <w:b/>
          <w:bCs/>
          <w:sz w:val="32"/>
          <w:szCs w:val="32"/>
        </w:rPr>
      </w:pPr>
    </w:p>
    <w:p w14:paraId="69DDAAB1" w14:textId="77777777" w:rsidR="001C0873" w:rsidRDefault="001C0873" w:rsidP="000D18BF">
      <w:pPr>
        <w:jc w:val="center"/>
        <w:rPr>
          <w:rFonts w:ascii="Times New Roman" w:hAnsi="Times New Roman" w:cs="Times New Roman"/>
          <w:b/>
          <w:bCs/>
          <w:sz w:val="32"/>
          <w:szCs w:val="32"/>
        </w:rPr>
      </w:pPr>
    </w:p>
    <w:p w14:paraId="5185CE57" w14:textId="2EA06B52" w:rsidR="00D817DC" w:rsidRPr="000D18BF" w:rsidRDefault="000D18BF" w:rsidP="000D18BF">
      <w:pPr>
        <w:jc w:val="center"/>
        <w:rPr>
          <w:rFonts w:ascii="Times New Roman" w:hAnsi="Times New Roman" w:cs="Times New Roman"/>
          <w:b/>
          <w:bCs/>
          <w:sz w:val="32"/>
          <w:szCs w:val="32"/>
        </w:rPr>
      </w:pPr>
      <w:r w:rsidRPr="000D18BF">
        <w:rPr>
          <w:rFonts w:ascii="Times New Roman" w:hAnsi="Times New Roman" w:cs="Times New Roman"/>
          <w:b/>
          <w:bCs/>
          <w:sz w:val="32"/>
          <w:szCs w:val="32"/>
        </w:rPr>
        <w:lastRenderedPageBreak/>
        <w:t>EMERGING TRENDS IN US BANKING SYSTEM</w:t>
      </w:r>
    </w:p>
    <w:p w14:paraId="7794F792"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The U.S. banking sector is experiencing a variety of emerging trends driven by technological advancements, changing consumer behaviors, and evolving regulatory landscapes. Here are some key trends shaping the future of banking in the United States:</w:t>
      </w:r>
    </w:p>
    <w:p w14:paraId="28EA999F"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1. Digital Transformation</w:t>
      </w:r>
    </w:p>
    <w:p w14:paraId="4B142CB9"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Banks are increasingly investing in digital technologies to enhance customer experiences, streamline operations, and improve efficiency. This includes the development of mobile banking apps, online banking platforms, and digital wallets. The COVID-19 pandemic accelerated the adoption of these technologies as consumers sought contactless and convenient banking solutions.</w:t>
      </w:r>
    </w:p>
    <w:p w14:paraId="60048561"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2. Artificial Intelligence and Machine Learning</w:t>
      </w:r>
    </w:p>
    <w:p w14:paraId="287DC1B7"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AI and machine learning are being used to enhance various banking functions, including fraud detection, customer service, credit scoring, and personalized financial advice. Chatbots and virtual assistants powered by AI are becoming more common, providing customers with 24/7 support and streamlined services.</w:t>
      </w:r>
    </w:p>
    <w:p w14:paraId="7B7D5D66"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3. Open Banking and APIs</w:t>
      </w:r>
    </w:p>
    <w:p w14:paraId="1374FCAE"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Open banking initiatives and the use of application programming interfaces (APIs) are promoting greater collaboration between banks and fintech companies. These technologies enable secure data sharing, allowing third-party developers to create new financial products and services that can be integrated with existing banking systems. This fosters innovation and provides customers with more options.</w:t>
      </w:r>
    </w:p>
    <w:p w14:paraId="0A0E64F9"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4. Blockchain and Cryptocurrencies</w:t>
      </w:r>
    </w:p>
    <w:p w14:paraId="65445C0D"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Blockchain technology is being explored for various applications, including secure and transparent transaction processing, smart contracts, and identity verification. Some banks are also offering cryptocurrency-related services, such as trading and custody, responding to growing customer interest in digital assets.</w:t>
      </w:r>
    </w:p>
    <w:p w14:paraId="0A8C5663"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5. Sustainable and Ethical Banking</w:t>
      </w:r>
    </w:p>
    <w:p w14:paraId="44DACA83"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 xml:space="preserve">There is an increasing focus on environmental, social, and governance (ESG) criteria in banking. Banks are developing sustainable finance products, such as green bonds and loans for environmentally friendly projects. Ethical banking </w:t>
      </w:r>
      <w:r w:rsidRPr="000D18BF">
        <w:rPr>
          <w:rFonts w:ascii="Times New Roman" w:hAnsi="Times New Roman" w:cs="Times New Roman"/>
          <w:sz w:val="28"/>
          <w:szCs w:val="28"/>
        </w:rPr>
        <w:lastRenderedPageBreak/>
        <w:t>practices are also gaining traction, with institutions committing to socially responsible investments and transparent governance.</w:t>
      </w:r>
    </w:p>
    <w:p w14:paraId="1897E66C"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6. Enhanced Cybersecurity Measures</w:t>
      </w:r>
    </w:p>
    <w:p w14:paraId="166F871E"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As digital banking grows, so does the need for robust cybersecurity. Banks are investing heavily in advanced security technologies, such as biometric authentication, encryption, and anomaly detection systems, to protect against cyber threats and ensure the safety of customer data.</w:t>
      </w:r>
    </w:p>
    <w:p w14:paraId="4F9F411F"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7. Personalized Banking Services</w:t>
      </w:r>
    </w:p>
    <w:p w14:paraId="2B921715"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The use of big data analytics allows banks to offer highly personalized services to customers. By analyzing customer data, banks can tailor product offerings, marketing strategies, and customer interactions to better meet individual needs and preferences.</w:t>
      </w:r>
    </w:p>
    <w:p w14:paraId="1E8C4BC9"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8. Regulatory Changes and Compliance</w:t>
      </w:r>
    </w:p>
    <w:p w14:paraId="0744189E"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The regulatory environment is continually evolving, with new regulations focusing on data privacy, anti-money laundering (AML), and consumer protection. Banks must stay compliant with these regulations while also adapting to new standards and guidelines. Regulatory technology (</w:t>
      </w:r>
      <w:proofErr w:type="spellStart"/>
      <w:r w:rsidRPr="000D18BF">
        <w:rPr>
          <w:rFonts w:ascii="Times New Roman" w:hAnsi="Times New Roman" w:cs="Times New Roman"/>
          <w:sz w:val="28"/>
          <w:szCs w:val="28"/>
        </w:rPr>
        <w:t>RegTech</w:t>
      </w:r>
      <w:proofErr w:type="spellEnd"/>
      <w:r w:rsidRPr="000D18BF">
        <w:rPr>
          <w:rFonts w:ascii="Times New Roman" w:hAnsi="Times New Roman" w:cs="Times New Roman"/>
          <w:sz w:val="28"/>
          <w:szCs w:val="28"/>
        </w:rPr>
        <w:t>) solutions are being used to streamline compliance processes and reduce costs.</w:t>
      </w:r>
    </w:p>
    <w:p w14:paraId="5A711A85"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9. Fintech Collaboration and Competition</w:t>
      </w:r>
    </w:p>
    <w:p w14:paraId="40135834"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The rise of fintech companies has introduced significant competition to traditional banks, particularly in areas like payments, lending, and personal finance management. However, many banks are choosing to collaborate with fintech firms through partnerships, acquisitions, or by investing in fintech startups to enhance their service offerings.</w:t>
      </w:r>
    </w:p>
    <w:p w14:paraId="412B8E58"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10. Embedded Finance</w:t>
      </w:r>
    </w:p>
    <w:p w14:paraId="3F009C70"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Embedded finance involves integrating financial services into non-financial platforms and services. This trend allows customers to access banking services seamlessly within apps they already use, such as e-commerce websites, ride-sharing apps, and social media platforms. This integration provides convenience and enhances the customer experience.</w:t>
      </w:r>
    </w:p>
    <w:p w14:paraId="157E3FB2"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11. Financial Inclusion Efforts</w:t>
      </w:r>
    </w:p>
    <w:p w14:paraId="275E3C53"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lastRenderedPageBreak/>
        <w:t>Banks are increasingly focusing on financial inclusion, developing products and services to reach underserved populations. This includes offering low-cost accounts, microloans, and financial education programs, as well as leveraging technology to provide access to banking in remote or underserved areas.</w:t>
      </w:r>
    </w:p>
    <w:p w14:paraId="653CF984"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12. Hybrid Banking Models</w:t>
      </w:r>
    </w:p>
    <w:p w14:paraId="6F3D3416"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The future of banking is likely to involve hybrid models that combine digital and physical services. While digital banking is growing, there remains a need for physical branches, particularly for complex transactions and personalized financial advice. Banks are reimagining branch layouts and functions to provide a more integrated and customer-centric experience.</w:t>
      </w:r>
    </w:p>
    <w:p w14:paraId="1A0428DB" w14:textId="77777777" w:rsidR="000D18BF" w:rsidRPr="000D18BF" w:rsidRDefault="000D18BF" w:rsidP="000D18BF">
      <w:pPr>
        <w:rPr>
          <w:rFonts w:ascii="Times New Roman" w:hAnsi="Times New Roman" w:cs="Times New Roman"/>
          <w:b/>
          <w:bCs/>
          <w:sz w:val="28"/>
          <w:szCs w:val="28"/>
        </w:rPr>
      </w:pPr>
      <w:r w:rsidRPr="000D18BF">
        <w:rPr>
          <w:rFonts w:ascii="Times New Roman" w:hAnsi="Times New Roman" w:cs="Times New Roman"/>
          <w:b/>
          <w:bCs/>
          <w:sz w:val="28"/>
          <w:szCs w:val="28"/>
        </w:rPr>
        <w:t>Conclusion</w:t>
      </w:r>
    </w:p>
    <w:p w14:paraId="2CA00C96" w14:textId="77777777" w:rsidR="000D18BF" w:rsidRPr="000D18BF" w:rsidRDefault="000D18BF" w:rsidP="000D18BF">
      <w:pPr>
        <w:rPr>
          <w:rFonts w:ascii="Times New Roman" w:hAnsi="Times New Roman" w:cs="Times New Roman"/>
          <w:sz w:val="28"/>
          <w:szCs w:val="28"/>
        </w:rPr>
      </w:pPr>
      <w:r w:rsidRPr="000D18BF">
        <w:rPr>
          <w:rFonts w:ascii="Times New Roman" w:hAnsi="Times New Roman" w:cs="Times New Roman"/>
          <w:sz w:val="28"/>
          <w:szCs w:val="28"/>
        </w:rPr>
        <w:t>The U.S. banking sector is undergoing significant transformation driven by technological advancements, regulatory changes, and evolving consumer expectations. Banks that can adapt to these trends and leverage new technologies while maintaining strong security and compliance will be well-positioned to thrive in the increasingly competitive and dynamic financial landscape</w:t>
      </w:r>
    </w:p>
    <w:p w14:paraId="4AB7BA2A" w14:textId="519C87C7" w:rsidR="000D18BF" w:rsidRPr="00D817DC" w:rsidRDefault="000D18BF" w:rsidP="00D817DC">
      <w:pPr>
        <w:rPr>
          <w:rFonts w:ascii="Times New Roman" w:hAnsi="Times New Roman" w:cs="Times New Roman"/>
          <w:sz w:val="28"/>
          <w:szCs w:val="28"/>
        </w:rPr>
      </w:pPr>
      <w:r>
        <w:rPr>
          <w:noProof/>
        </w:rPr>
        <w:drawing>
          <wp:inline distT="0" distB="0" distL="0" distR="0" wp14:anchorId="0DD9339E" wp14:editId="76DDE73A">
            <wp:extent cx="5943600"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sectPr w:rsidR="000D18BF" w:rsidRPr="00D817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DC"/>
    <w:rsid w:val="000D18BF"/>
    <w:rsid w:val="001C0873"/>
    <w:rsid w:val="004A558A"/>
    <w:rsid w:val="00B84C8A"/>
    <w:rsid w:val="00D8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929C"/>
  <w15:chartTrackingRefBased/>
  <w15:docId w15:val="{A67802C1-BEA4-4BA7-98F1-A45382D6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572360">
      <w:bodyDiv w:val="1"/>
      <w:marLeft w:val="0"/>
      <w:marRight w:val="0"/>
      <w:marTop w:val="0"/>
      <w:marBottom w:val="0"/>
      <w:divBdr>
        <w:top w:val="none" w:sz="0" w:space="0" w:color="auto"/>
        <w:left w:val="none" w:sz="0" w:space="0" w:color="auto"/>
        <w:bottom w:val="none" w:sz="0" w:space="0" w:color="auto"/>
        <w:right w:val="none" w:sz="0" w:space="0" w:color="auto"/>
      </w:divBdr>
    </w:div>
    <w:div w:id="654334168">
      <w:bodyDiv w:val="1"/>
      <w:marLeft w:val="0"/>
      <w:marRight w:val="0"/>
      <w:marTop w:val="0"/>
      <w:marBottom w:val="0"/>
      <w:divBdr>
        <w:top w:val="none" w:sz="0" w:space="0" w:color="auto"/>
        <w:left w:val="none" w:sz="0" w:space="0" w:color="auto"/>
        <w:bottom w:val="none" w:sz="0" w:space="0" w:color="auto"/>
        <w:right w:val="none" w:sz="0" w:space="0" w:color="auto"/>
      </w:divBdr>
    </w:div>
    <w:div w:id="1535120474">
      <w:bodyDiv w:val="1"/>
      <w:marLeft w:val="0"/>
      <w:marRight w:val="0"/>
      <w:marTop w:val="0"/>
      <w:marBottom w:val="0"/>
      <w:divBdr>
        <w:top w:val="none" w:sz="0" w:space="0" w:color="auto"/>
        <w:left w:val="none" w:sz="0" w:space="0" w:color="auto"/>
        <w:bottom w:val="none" w:sz="0" w:space="0" w:color="auto"/>
        <w:right w:val="none" w:sz="0" w:space="0" w:color="auto"/>
      </w:divBdr>
    </w:div>
    <w:div w:id="1983190650">
      <w:bodyDiv w:val="1"/>
      <w:marLeft w:val="0"/>
      <w:marRight w:val="0"/>
      <w:marTop w:val="0"/>
      <w:marBottom w:val="0"/>
      <w:divBdr>
        <w:top w:val="none" w:sz="0" w:space="0" w:color="auto"/>
        <w:left w:val="none" w:sz="0" w:space="0" w:color="auto"/>
        <w:bottom w:val="none" w:sz="0" w:space="0" w:color="auto"/>
        <w:right w:val="none" w:sz="0" w:space="0" w:color="auto"/>
      </w:divBdr>
    </w:div>
    <w:div w:id="20250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8B717BC525543B529379C16A8ADE1" ma:contentTypeVersion="6" ma:contentTypeDescription="Create a new document." ma:contentTypeScope="" ma:versionID="8cc8d9213f72d5b2fda72ddaa75dd380">
  <xsd:schema xmlns:xsd="http://www.w3.org/2001/XMLSchema" xmlns:xs="http://www.w3.org/2001/XMLSchema" xmlns:p="http://schemas.microsoft.com/office/2006/metadata/properties" xmlns:ns3="b6c0e444-8d3f-4441-bef4-d2219cd5da69" targetNamespace="http://schemas.microsoft.com/office/2006/metadata/properties" ma:root="true" ma:fieldsID="af205eb7e8917510d0fcc02bef872fd5" ns3:_="">
    <xsd:import namespace="b6c0e444-8d3f-4441-bef4-d2219cd5da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c0e444-8d3f-4441-bef4-d2219cd5d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6c0e444-8d3f-4441-bef4-d2219cd5da69" xsi:nil="true"/>
  </documentManagement>
</p:properties>
</file>

<file path=customXml/itemProps1.xml><?xml version="1.0" encoding="utf-8"?>
<ds:datastoreItem xmlns:ds="http://schemas.openxmlformats.org/officeDocument/2006/customXml" ds:itemID="{F6E6D5E8-26CA-4556-9A9C-6E3119DE3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c0e444-8d3f-4441-bef4-d2219cd5d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6A1836-AF0A-4805-9362-2345C27CB6B8}">
  <ds:schemaRefs>
    <ds:schemaRef ds:uri="http://schemas.microsoft.com/sharepoint/v3/contenttype/forms"/>
  </ds:schemaRefs>
</ds:datastoreItem>
</file>

<file path=customXml/itemProps3.xml><?xml version="1.0" encoding="utf-8"?>
<ds:datastoreItem xmlns:ds="http://schemas.openxmlformats.org/officeDocument/2006/customXml" ds:itemID="{26FFB97A-EF1C-4B0F-AA2A-57EF18DAB618}">
  <ds:schemaRefs>
    <ds:schemaRef ds:uri="http://schemas.microsoft.com/office/2006/metadata/properties"/>
    <ds:schemaRef ds:uri="http://schemas.microsoft.com/office/infopath/2007/PartnerControls"/>
    <ds:schemaRef ds:uri="b6c0e444-8d3f-4441-bef4-d2219cd5da69"/>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2</cp:revision>
  <dcterms:created xsi:type="dcterms:W3CDTF">2024-06-09T11:10:00Z</dcterms:created>
  <dcterms:modified xsi:type="dcterms:W3CDTF">2024-06-09T11:10:00Z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0x0101009CB8B717BC525543B529379C16A8ADE1</vt:lpwstr>
  </property>
</Properties>
</file>