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4601" w14:textId="175E42B6" w:rsidR="004B7B29" w:rsidRPr="004B7B29" w:rsidRDefault="004B7B29" w:rsidP="004B7B29">
      <w:pPr>
        <w:shd w:val="clear" w:color="auto" w:fill="D9F2D0" w:themeFill="accent6" w:themeFillTint="33"/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  <w:r w:rsidRPr="004B7B29">
        <w:rPr>
          <w:rFonts w:ascii="Times New Roman" w:hAnsi="Times New Roman" w:cs="Times New Roman"/>
          <w:b/>
          <w:bCs/>
        </w:rPr>
        <w:t>Аналитическая записка о добыче нефти в Российской Федерации с 2008–2019</w:t>
      </w:r>
    </w:p>
    <w:p w14:paraId="42AFEEB4" w14:textId="254B646B" w:rsidR="004B7B29" w:rsidRPr="004B7B29" w:rsidRDefault="004B7B29" w:rsidP="004B7B29">
      <w:pPr>
        <w:tabs>
          <w:tab w:val="num" w:pos="720"/>
        </w:tabs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Общее резюме:</w:t>
      </w:r>
    </w:p>
    <w:p w14:paraId="5D3AFE7C" w14:textId="77777777" w:rsidR="004B7B29" w:rsidRPr="004B7B29" w:rsidRDefault="004B7B29" w:rsidP="004B7B29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В период с 2008 по 2019 год нефтедобыча в России имела устойчивую положительную динамику: суммарный объём вырос с 488,6 млн тонн до 561,2 млн тонн, то есть на 72,6 млн тонн (+14,9 %). Среднегодовой прирост составил 1,3 %.</w:t>
      </w:r>
    </w:p>
    <w:p w14:paraId="3B41BC28" w14:textId="65FA968C" w:rsidR="004B7B29" w:rsidRPr="004B7B29" w:rsidRDefault="004B7B29" w:rsidP="004B7B29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Самый значительный абсолютный прирост зафиксирован в 2016 году – добыча увеличилась на 13,3 млн тонн (+2,5 % относительно 2015 года). Это стало результатом одновременного наращивания объёмов всеми категориями производителей: ВИНК (включая ПАО «Газпром») – на 7,5 млн тонн (+1,6 %), независимыми компаниями – на 4,7 млн тонн (+8,6 %), операторами СРП – на 1,0 млн тонн (+6,7 %).</w:t>
      </w:r>
    </w:p>
    <w:p w14:paraId="63DC0D97" w14:textId="505FC6B5" w:rsidR="004B7B29" w:rsidRPr="004B7B29" w:rsidRDefault="004B7B29" w:rsidP="004B7B29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До 2016 года максимальный годовой прирост отмечался в 2010 году – плюс 10,9 млн тонн (+2,2 % к 2009 году). Этот рост был обеспечен исключительно ВИНК (включая «Газпром»), которые увеличили добычу на 11,3 млн тонн (+2,6 %), тогда как независимые производители показали нулевую динамику, а операторы СРП снизили добычу на 0,4 млн тонн (–2,7 %).</w:t>
      </w:r>
    </w:p>
    <w:p w14:paraId="0C024981" w14:textId="77777777" w:rsidR="004B7B29" w:rsidRPr="004B7B29" w:rsidRDefault="004B7B29" w:rsidP="004B7B29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Отдельного внимания заслуживает 2017 год, когда добыча в России сократилась на 0,8 млн тонн (–0,1 % к 2016 году). Причиной стало падение добычи со стороны ВИНК («Газпром» включительно) на 3,7 млн тонн (–0,8 %), что было почти полностью компенсировано ростом независимых производителей (+2,4 млн тонн, +4,0 %) и операторов СРП (+0,5 млн тонн, +3,1 %).</w:t>
      </w:r>
    </w:p>
    <w:p w14:paraId="4ECA7FB4" w14:textId="7025393A" w:rsidR="004B7B29" w:rsidRPr="004B7B29" w:rsidRDefault="004B7B29" w:rsidP="004B7B29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За рассматриваемый период структура добычи по категориям производителей заметно изменилась: доля ВИНК (с «Газпромом») снизилась с 89,3 % в 2008 году до 84,7 % в 2019 году (минус 4,6 </w:t>
      </w:r>
      <w:proofErr w:type="spellStart"/>
      <w:r w:rsidRPr="004B7B29">
        <w:rPr>
          <w:rFonts w:ascii="Times New Roman" w:hAnsi="Times New Roman" w:cs="Times New Roman"/>
        </w:rPr>
        <w:t>п.п</w:t>
      </w:r>
      <w:proofErr w:type="spellEnd"/>
      <w:r w:rsidRPr="004B7B29">
        <w:rPr>
          <w:rFonts w:ascii="Times New Roman" w:hAnsi="Times New Roman" w:cs="Times New Roman"/>
        </w:rPr>
        <w:t xml:space="preserve">.), тогда как удельный вес независимых производителей вырос с 8,2 % до 11,8 % (+3,6 </w:t>
      </w:r>
      <w:proofErr w:type="spellStart"/>
      <w:r w:rsidRPr="004B7B29">
        <w:rPr>
          <w:rFonts w:ascii="Times New Roman" w:hAnsi="Times New Roman" w:cs="Times New Roman"/>
        </w:rPr>
        <w:t>п.п</w:t>
      </w:r>
      <w:proofErr w:type="spellEnd"/>
      <w:r w:rsidRPr="004B7B29">
        <w:rPr>
          <w:rFonts w:ascii="Times New Roman" w:hAnsi="Times New Roman" w:cs="Times New Roman"/>
        </w:rPr>
        <w:t xml:space="preserve">.), а операторов СРП – с 2,5 % до 3,5 % (+1,0 </w:t>
      </w:r>
      <w:proofErr w:type="spellStart"/>
      <w:r w:rsidRPr="004B7B29">
        <w:rPr>
          <w:rFonts w:ascii="Times New Roman" w:hAnsi="Times New Roman" w:cs="Times New Roman"/>
        </w:rPr>
        <w:t>п.п</w:t>
      </w:r>
      <w:proofErr w:type="spellEnd"/>
      <w:r w:rsidRPr="004B7B29">
        <w:rPr>
          <w:rFonts w:ascii="Times New Roman" w:hAnsi="Times New Roman" w:cs="Times New Roman"/>
        </w:rPr>
        <w:t>.). Это говорит о тенденции к диверсификации структуры отрасли.</w:t>
      </w:r>
    </w:p>
    <w:p w14:paraId="4991EBD0" w14:textId="37E6D01D" w:rsidR="004B7B29" w:rsidRPr="004B7B29" w:rsidRDefault="004B7B29" w:rsidP="004B7B29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Наиболее высокие темпы роста за 2008–2019 годы показали независимые производители: их добыча увеличилась с 40,2 до 66,2 млн тонн, то есть в 1,65 раза (среднегодовой темп 104,6 %). Добыча ВИНК (с «Газпромом») выросла всего на 9,0 % (с 436,4 до 475,5 млн тонн; среднегодовой темп 100,8 %), а операторов СРП – на 61,7 % (с 12,0 до 19,4 млн тонн; среднегодовой темп 104,5 %).</w:t>
      </w:r>
    </w:p>
    <w:p w14:paraId="7E107914" w14:textId="43EFBF53" w:rsidR="004B7B29" w:rsidRPr="004B7B29" w:rsidRDefault="004B7B29" w:rsidP="004B7B29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В региональном разрезе (данные с 2014 года) основная часть нефти добывается в Западной Сибири – в среднем 57,8 % от общероссийского уровня за 2014–2019 годы. На Европейскую часть приходится в среднем 29,7 %, на Восточную Сибирь и Дальний Восток – 12,6 %. Самый быстрый рост в этот период продемонстрировал регион Восточной Сибири и Дальнего Востока – на 29,3 % (с 58,8 до 76,0 млн тонн), что заметно превышает темпы в Европейской части (+6,9 %) и Западной Сибири (+2,1 %).</w:t>
      </w:r>
    </w:p>
    <w:p w14:paraId="5901F165" w14:textId="09EEBB2D" w:rsidR="004B7B29" w:rsidRPr="004B7B29" w:rsidRDefault="004B7B29" w:rsidP="004B7B29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Добыча из новых источников (шельф) демонстрирует устойчивый и значительный рост: с 15,3 млн тонн в 2009 году до 30,0 млн тонн в 2019 году – практически в 2 раза. Среднегодовой темп составил 107,0 %. Доля шельфа в общем объёме увеличилась с 3,1 % до 5,3 %. Добыча на новых месторождениях («гринфилдах») была более волатильной: при пике в 42,0 млн тонн в 2018 году в 2015 году наблюдался резкий спад до 20,2 млн тонн (49,5 % от уровня 2014 года).</w:t>
      </w:r>
    </w:p>
    <w:p w14:paraId="3A9696B8" w14:textId="77777777" w:rsidR="004B7B29" w:rsidRPr="004B7B29" w:rsidRDefault="004B7B29" w:rsidP="004B7B29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Скважинный фонд в России последовательно расширялся: с 157,8 тыс. в 2008 году до 180,4 тыс. в 2019 году (прирост на 22,6 тыс., или +14,3 %). Доля действующих скважин (дающих продукцию) выросла с 84,1 % до 85,9 %. При этом средний дебит на одну </w:t>
      </w:r>
      <w:r w:rsidRPr="004B7B29">
        <w:rPr>
          <w:rFonts w:ascii="Times New Roman" w:hAnsi="Times New Roman" w:cs="Times New Roman"/>
        </w:rPr>
        <w:lastRenderedPageBreak/>
        <w:t>скважину снизился с 3,68 млн тонн до 3,62 млн тонн, что отражает истощение традиционных месторождений.</w:t>
      </w:r>
    </w:p>
    <w:p w14:paraId="3E20E151" w14:textId="67093EBC" w:rsidR="004B7B29" w:rsidRPr="004B7B29" w:rsidRDefault="004B7B29" w:rsidP="004B7B29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На 30 декабря 2020 года суммарные доказанные запасы углеводородов десяти рассмотренных нефтегазовых компаний составили 248 633,7 млн баррелей нефтяного эквивалента (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 xml:space="preserve">.). Лидер – ПАО «Газпром» (178 510 млн 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 xml:space="preserve">., 71,8 % от общего объёма), далее следуют ПАО «НОВАТЭК» (16 366 млн 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 xml:space="preserve">., 6,6 %) и ПАО «ЛУКОЙЛ» (15 400 млн 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>., 6,2 %). Запасы «Газпрома» в 11,6 раз превышают запасы «ЛУКОЙЛа», взятого за базовый ориентир как одна из крупнейших ВИНК с прозрачной отчётностью.</w:t>
      </w:r>
    </w:p>
    <w:p w14:paraId="0E70BD6A" w14:textId="77777777" w:rsidR="004B7B29" w:rsidRPr="004B7B29" w:rsidRDefault="004B7B29" w:rsidP="004B7B29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В международном сравнении Россия стабильно входит в тройку ведущих нефтедобывающих стран мира наряду с Саудовской Аравией и США. Доля РФ в мировой добыче за 2008–2018 годы колебалась в пределах 12,2–12,9 %. Мировая добыча за этот период выросла с 3 994 до 4 482 млн тонн (+12,2 %), причём наиболее сильный прирост показали США (с 245 до 666 млн тонн, рост в 2,7 раза) и Ирак (со 100 до 231 млн тонн, рост в 2,3 раза). Добыча в Великобритании, напротив, сократилась с 65,5 до 50,9 млн тонн (–22,3 %).</w:t>
      </w:r>
    </w:p>
    <w:p w14:paraId="161F4EF2" w14:textId="7C52E6CB" w:rsidR="004B7B29" w:rsidRPr="004B7B29" w:rsidRDefault="004B7B29" w:rsidP="004B7B29">
      <w:pPr>
        <w:numPr>
          <w:ilvl w:val="0"/>
          <w:numId w:val="1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По итогам 2018 года в России насчитывалось 198 нефтегазовых компаний, из них 11 – ВИНК (включая «Газпром»), 184 – независимые производители, 3 – операторы СРП. Самый высокий среднесуточный дебит скважин отмечен у независимых производителей – 10,2 т/</w:t>
      </w:r>
      <w:proofErr w:type="spellStart"/>
      <w:r w:rsidRPr="004B7B29">
        <w:rPr>
          <w:rFonts w:ascii="Times New Roman" w:hAnsi="Times New Roman" w:cs="Times New Roman"/>
        </w:rPr>
        <w:t>сут</w:t>
      </w:r>
      <w:proofErr w:type="spellEnd"/>
      <w:r w:rsidRPr="004B7B29">
        <w:rPr>
          <w:rFonts w:ascii="Times New Roman" w:hAnsi="Times New Roman" w:cs="Times New Roman"/>
        </w:rPr>
        <w:t>., у ВИНК – 8,7 т/</w:t>
      </w:r>
      <w:proofErr w:type="spellStart"/>
      <w:r w:rsidRPr="004B7B29">
        <w:rPr>
          <w:rFonts w:ascii="Times New Roman" w:hAnsi="Times New Roman" w:cs="Times New Roman"/>
        </w:rPr>
        <w:t>сут</w:t>
      </w:r>
      <w:proofErr w:type="spellEnd"/>
      <w:r w:rsidRPr="004B7B29">
        <w:rPr>
          <w:rFonts w:ascii="Times New Roman" w:hAnsi="Times New Roman" w:cs="Times New Roman"/>
        </w:rPr>
        <w:t>., у операторов СРП – 4,5 т/</w:t>
      </w:r>
      <w:proofErr w:type="spellStart"/>
      <w:r w:rsidRPr="004B7B29">
        <w:rPr>
          <w:rFonts w:ascii="Times New Roman" w:hAnsi="Times New Roman" w:cs="Times New Roman"/>
        </w:rPr>
        <w:t>сут</w:t>
      </w:r>
      <w:proofErr w:type="spellEnd"/>
      <w:r w:rsidRPr="004B7B29">
        <w:rPr>
          <w:rFonts w:ascii="Times New Roman" w:hAnsi="Times New Roman" w:cs="Times New Roman"/>
        </w:rPr>
        <w:t>. При этом именно ВИНК обеспечивают подавляющий объём добычи (473,7 млн тонн, 85,2 %), располагая 149,2 тыс. скважин.</w:t>
      </w:r>
    </w:p>
    <w:p w14:paraId="4A245FAC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1. Распределение добычи нефти по категориям производителей (2008–2019 гг.)</w:t>
      </w:r>
    </w:p>
    <w:p w14:paraId="70772771" w14:textId="54E0867E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За 2008–2019 годы добыча нефти в России выросла с 488,6 до 561,2 млн тонн (+14,9 %, среднегодовой прирост 1,3 %). В баррелях это увеличение с 3 557,0 млн до 4 085,5 млн баррелей, в 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 xml:space="preserve">. – с 4 780,5 млн до 5 490,8 млн 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>.</w:t>
      </w:r>
    </w:p>
    <w:p w14:paraId="263111B7" w14:textId="21A5EAD0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Среднегодовая добыча за период – 526,1 млн тонн при размахе 72,6 млн тонн (минимум – 488,6 млн тонн в 2008 г., максимум – 561,2 млн тонн в 2019 г.). Медиана – 525,1 млн тонн, </w:t>
      </w:r>
      <w:proofErr w:type="spellStart"/>
      <w:r w:rsidRPr="004B7B29">
        <w:rPr>
          <w:rFonts w:ascii="Times New Roman" w:hAnsi="Times New Roman" w:cs="Times New Roman"/>
        </w:rPr>
        <w:t>межквартильный</w:t>
      </w:r>
      <w:proofErr w:type="spellEnd"/>
      <w:r w:rsidRPr="004B7B29">
        <w:rPr>
          <w:rFonts w:ascii="Times New Roman" w:hAnsi="Times New Roman" w:cs="Times New Roman"/>
        </w:rPr>
        <w:t xml:space="preserve"> диапазон – от 509,9 до 547,0 млн тонн. Коэффициент вариации 4,3 % указывает на высокую однородность и умеренную волатильность.</w:t>
      </w:r>
    </w:p>
    <w:p w14:paraId="4381501A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Динамика по категориям:</w:t>
      </w:r>
    </w:p>
    <w:p w14:paraId="52EADF3E" w14:textId="18590A46" w:rsidR="004B7B29" w:rsidRPr="004B7B29" w:rsidRDefault="004B7B29" w:rsidP="004B7B29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ВИНК (включая ПАО «Газпром») – доминирующий сектор. Добыча выросла с 436,4 млн тонн (2008 г.) до 475,5 млн тонн (2019 г.), прирост на 39,1 млн тонн (+9,0 %). Среднегодовое значение – 460,4 млн тонн, среднегодовой темп 100,8 %, коэффициент вариации 2,7 % (высокая стабильность). Доля в общем объёме снизилась с 89,3 % до 84,7 % (минус 4,6 </w:t>
      </w:r>
      <w:proofErr w:type="spellStart"/>
      <w:r w:rsidRPr="004B7B29">
        <w:rPr>
          <w:rFonts w:ascii="Times New Roman" w:hAnsi="Times New Roman" w:cs="Times New Roman"/>
        </w:rPr>
        <w:t>п.п</w:t>
      </w:r>
      <w:proofErr w:type="spellEnd"/>
      <w:r w:rsidRPr="004B7B29">
        <w:rPr>
          <w:rFonts w:ascii="Times New Roman" w:hAnsi="Times New Roman" w:cs="Times New Roman"/>
        </w:rPr>
        <w:t>.).</w:t>
      </w:r>
    </w:p>
    <w:p w14:paraId="178339A6" w14:textId="6F025626" w:rsidR="004B7B29" w:rsidRPr="004B7B29" w:rsidRDefault="004B7B29" w:rsidP="004B7B29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Независимые производители – наиболее динамичный сегмент. Объём вырос с 40,2 до 66,2 млн тонн (+26,0 млн тонн, +64,7 %). Среднегодовое значение – 50,4 млн тонн, среднегодовой темп 104,6 %, коэффициент вариации 19,1 % (отражает значительный рост). Доля увеличилась с 8,2 % до 11,8 % (+3,6 </w:t>
      </w:r>
      <w:proofErr w:type="spellStart"/>
      <w:r w:rsidRPr="004B7B29">
        <w:rPr>
          <w:rFonts w:ascii="Times New Roman" w:hAnsi="Times New Roman" w:cs="Times New Roman"/>
        </w:rPr>
        <w:t>п.п</w:t>
      </w:r>
      <w:proofErr w:type="spellEnd"/>
      <w:r w:rsidRPr="004B7B29">
        <w:rPr>
          <w:rFonts w:ascii="Times New Roman" w:hAnsi="Times New Roman" w:cs="Times New Roman"/>
        </w:rPr>
        <w:t>.).</w:t>
      </w:r>
    </w:p>
    <w:p w14:paraId="20474CE7" w14:textId="79C46D90" w:rsidR="004B7B29" w:rsidRPr="004B7B29" w:rsidRDefault="004B7B29" w:rsidP="004B7B29">
      <w:pPr>
        <w:numPr>
          <w:ilvl w:val="0"/>
          <w:numId w:val="2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Операторы СРП – наименьший по объёму сегмент. Добыча выросла с 12,0 до 19,4 млн тонн (+7,4 млн тонн, +61,7 %). Среднегодовое значение – 15,4 млн тонн, темп роста 104,5 %, коэффициент вариации 12,8 %. Доля выросла с 2,5 % до 3,5 % (+1,0 </w:t>
      </w:r>
      <w:proofErr w:type="spellStart"/>
      <w:r w:rsidRPr="004B7B29">
        <w:rPr>
          <w:rFonts w:ascii="Times New Roman" w:hAnsi="Times New Roman" w:cs="Times New Roman"/>
        </w:rPr>
        <w:t>п.п</w:t>
      </w:r>
      <w:proofErr w:type="spellEnd"/>
      <w:r w:rsidRPr="004B7B29">
        <w:rPr>
          <w:rFonts w:ascii="Times New Roman" w:hAnsi="Times New Roman" w:cs="Times New Roman"/>
        </w:rPr>
        <w:t>.).</w:t>
      </w:r>
    </w:p>
    <w:p w14:paraId="6A5E0B37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Особенности по годам:</w:t>
      </w:r>
    </w:p>
    <w:p w14:paraId="34E119E4" w14:textId="77777777" w:rsidR="004B7B29" w:rsidRPr="004B7B29" w:rsidRDefault="004B7B29" w:rsidP="004B7B29">
      <w:pPr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2010 г.: заметный прирост на 10,9 млн тонн (+2,2 % к 2009 г.) почти полностью за счёт ВИНК (+11,3 млн тонн, +2,6 %); независимые производители не изменили объёмов, операторы СРП сократили на 0,4 млн тонн (–2,7 %).</w:t>
      </w:r>
    </w:p>
    <w:p w14:paraId="3AAB22A9" w14:textId="77777777" w:rsidR="004B7B29" w:rsidRPr="004B7B29" w:rsidRDefault="004B7B29" w:rsidP="004B7B29">
      <w:pPr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lastRenderedPageBreak/>
        <w:t>2016 г.: рекордный годовой прирост 13,3 млн тонн (+2,5 % к 2015 г.) благодаря росту всех категорий: ВИНК (+7,5 млн тонн, +1,6 %), независимые (+4,7 млн тонн, +8,6 %), операторы СРП (+1,0 млн тонн, +6,7 %).</w:t>
      </w:r>
    </w:p>
    <w:p w14:paraId="525D7746" w14:textId="0B3B540D" w:rsidR="004B7B29" w:rsidRPr="004B7B29" w:rsidRDefault="004B7B29" w:rsidP="004B7B29">
      <w:pPr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2017 г.: единственное падение за весь период – минус 0,8 млн тонн (–0,1 % к 2016 г.) из-за снижения добычи ВИНК на 3,7 млн тонн (–0,8 %), что частично компенсировано ростом независимых (+2,4 млн тонн, +4,0 %) и операторов СРП (+0,5 млн тонн, +3,1 %). Это связано с участием России в соглашении ОПЕК+.</w:t>
      </w:r>
    </w:p>
    <w:p w14:paraId="66B59603" w14:textId="706E1A64" w:rsidR="004B7B29" w:rsidRPr="004B7B29" w:rsidRDefault="004B7B29" w:rsidP="004B7B29">
      <w:pPr>
        <w:numPr>
          <w:ilvl w:val="0"/>
          <w:numId w:val="3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По сравнению с базовым 2010 г., в 2019 г. общая добыча составила 111,1 %, ВИНК – 105,5 %, независимые – 165,1 %, операторы СРП – 134,7 %.</w:t>
      </w:r>
    </w:p>
    <w:p w14:paraId="5F48EC45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2. Региональное распределение добычи нефти (2014–2019 гг.)</w:t>
      </w:r>
    </w:p>
    <w:p w14:paraId="0B9D0496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С 2014 года ЦДУ ТЭК ведёт региональный учёт. За 2014–2019 гг. добыча выросла во всех трёх макрорегионах.</w:t>
      </w:r>
    </w:p>
    <w:p w14:paraId="21C5A917" w14:textId="606A4526" w:rsidR="004B7B29" w:rsidRPr="004B7B29" w:rsidRDefault="004B7B29" w:rsidP="004B7B29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Западная Сибирь – крупнейший нефтедобывающий регион. Объём вырос с 313,0 млн тонн (2014 г.) до 319,5 млн тонн (2019 г.), прирост на 6,5 млн тонн (+2,1 %). Среднегодовое значение – 315,1 млн тонн, коэффициент вариации 0,8 % (чрезвычайно стабильно). Доля в общероссийской добыче снизилась с 59,4 % до 56,9 %.</w:t>
      </w:r>
    </w:p>
    <w:p w14:paraId="36F48C7B" w14:textId="14196A62" w:rsidR="004B7B29" w:rsidRPr="004B7B29" w:rsidRDefault="004B7B29" w:rsidP="004B7B29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Европейская часть – второй по значимости регион. Добыча увеличилась с 155,0 до 165,7 млн тонн (+10,7 млн тонн, +6,9 %). Среднегодовое значение – 161,8 млн тонн, коэффициент вариации 2,3 %. Доля практически не изменилась – около 29,7 %.</w:t>
      </w:r>
    </w:p>
    <w:p w14:paraId="5EBE1C34" w14:textId="6BC00F59" w:rsidR="004B7B29" w:rsidRPr="004B7B29" w:rsidRDefault="004B7B29" w:rsidP="004B7B29">
      <w:pPr>
        <w:numPr>
          <w:ilvl w:val="0"/>
          <w:numId w:val="4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Восточная Сибирь и Дальний Восток – наиболее быстрорастущий регион. Объём вырос с 58,8 до 76,0 млн тонн (+17,2 млн тонн, +29,3 %). Среднегодовое значение – 68,6 млн тонн, коэффициент вариации 8,7 %. Доля увеличилась с 11,2 % до 13,5 % (+2,4 </w:t>
      </w:r>
      <w:proofErr w:type="spellStart"/>
      <w:r w:rsidRPr="004B7B29">
        <w:rPr>
          <w:rFonts w:ascii="Times New Roman" w:hAnsi="Times New Roman" w:cs="Times New Roman"/>
        </w:rPr>
        <w:t>п.п</w:t>
      </w:r>
      <w:proofErr w:type="spellEnd"/>
      <w:r w:rsidRPr="004B7B29">
        <w:rPr>
          <w:rFonts w:ascii="Times New Roman" w:hAnsi="Times New Roman" w:cs="Times New Roman"/>
        </w:rPr>
        <w:t>.), что отражает государственную стратегию освоения восточных территорий.</w:t>
      </w:r>
    </w:p>
    <w:p w14:paraId="3E4CE8B5" w14:textId="47B206D8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По итогам 2019 года к уровню 2014 года: Европейская часть – 106,9 %, Западная Сибирь – 102,1 %, Восточная Сибирь и Дальний Восток – 129,3 %. В 2019 году объём добычи в Западной Сибири превышал европейский на 153,8 млн тонн (в 1,93 раза); в 2014 году разрыв был 158,0 млн тонн (в 2,02 раза) – разница постепенно сокращается.</w:t>
      </w:r>
    </w:p>
    <w:p w14:paraId="27883E39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3. Добыча из новых источников (2009–2019 гг.)</w:t>
      </w:r>
    </w:p>
    <w:p w14:paraId="30C7DBB6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К новым источникам относят месторождения-«гринфилды» и шельф. Учёт начат с 2009 года.</w:t>
      </w:r>
    </w:p>
    <w:p w14:paraId="7E44A822" w14:textId="54360C55" w:rsidR="004B7B29" w:rsidRPr="004B7B29" w:rsidRDefault="004B7B29" w:rsidP="004B7B29">
      <w:pPr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«Гринфилды» – высокая волатильность. Добыча выросла с 31,4 млн тонн (2009 г.) до 41,3 млн тонн (2019 г.), прирост на 9,9 млн тонн (+31,5 %). Максимум – 42,0 млн тонн в 2018 г., минимум – 20,2 млн тонн в 2015 г. (падение на 50,5 % к 2014 г. из-за завершения активной фазы освоения крупных проектов). Среднегодовое значение – 35,8 млн тонн, коэффициент вариации 16,7 %. Доля в общем объёме – от 3,8 % до 7,7 %, в среднем 6,8 %.</w:t>
      </w:r>
    </w:p>
    <w:p w14:paraId="2AF32A72" w14:textId="130D972B" w:rsidR="004B7B29" w:rsidRPr="004B7B29" w:rsidRDefault="004B7B29" w:rsidP="004B7B29">
      <w:pPr>
        <w:numPr>
          <w:ilvl w:val="0"/>
          <w:numId w:val="5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Шельф – устойчивый рост. Добыча увеличилась с 15,3 млн тонн (2009 г.) до 30,0 млн тонн (2019 г.), почти в 2 раза (плюс 14,7 млн тонн, +96,1 %). Среднегодовой темп 107,0 %. Среднегодовое значение – 19,8 млн тонн. Доля в общем объёме выросла с 3,1 % до 5,3 % (+2,2 </w:t>
      </w:r>
      <w:proofErr w:type="spellStart"/>
      <w:r w:rsidRPr="004B7B29">
        <w:rPr>
          <w:rFonts w:ascii="Times New Roman" w:hAnsi="Times New Roman" w:cs="Times New Roman"/>
        </w:rPr>
        <w:t>п.п</w:t>
      </w:r>
      <w:proofErr w:type="spellEnd"/>
      <w:r w:rsidRPr="004B7B29">
        <w:rPr>
          <w:rFonts w:ascii="Times New Roman" w:hAnsi="Times New Roman" w:cs="Times New Roman"/>
        </w:rPr>
        <w:t>.), что говорит о возрастающей роли шельфовых проектов.</w:t>
      </w:r>
    </w:p>
    <w:p w14:paraId="4DB02843" w14:textId="68CC7122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К 2019 году относительно 2016 года: «гринфилды» – 133,2 %, шельф – 134,5 %. В 2009 году шельф составлял 48,7 % от добычи на «гринфилдах», в 2019 году – 72,6 %, что указывает на опережающий рост шельфа.</w:t>
      </w:r>
    </w:p>
    <w:p w14:paraId="7A056BCD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4. Сведения о фонде скважин (2008–2019 гг.)</w:t>
      </w:r>
    </w:p>
    <w:p w14:paraId="3D059308" w14:textId="22C15D9A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lastRenderedPageBreak/>
        <w:t>За 12 лет фонд скважин вырос с 157,8 тыс. до 180,4 тыс. (плюс 22,6 тыс., +14,3 %). Среднегодовое значение – 167,5 тыс., среднегодовой темп 101,2 %, коэффициент вариации 4,5 % (устойчивая положительная динамика).</w:t>
      </w:r>
    </w:p>
    <w:p w14:paraId="19E6619E" w14:textId="3BDD1F7B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Доля действующих скважин (дающих продукцию) повысилась с 84,1 % в 2008 г. до 85,9 % в 2019 г. Максимум (87,4–87,5 %) зафиксирован в 2015–2016 и 2018 гг., минимум – в 2009 г. (83,7 %). Среднее значение – 85,9 %, коэффициент вариации 1,5 % (чрезвычайно стабильно).</w:t>
      </w:r>
    </w:p>
    <w:p w14:paraId="363B975B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Количество продуктивных скважин увеличилось с 132,7 тыс. до 155,0 тыс. (+16,8 %). При этом добыча на одну скважину снизилась с 3,68 млн тонн до 3,62 млн тонн, что отражает падение среднего дебита из-за истощения традиционных месторождений и ввода менее продуктивных новых скважин.</w:t>
      </w:r>
    </w:p>
    <w:p w14:paraId="272A574D" w14:textId="260F16EB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К 2019 году относительно 2010 года: фонд скважин – 113,2 %, доля действующих – 101,4 %. Относительно 2016 года: фонд – 104,2 %, доля действующих – 98,2 %.</w:t>
      </w:r>
    </w:p>
    <w:p w14:paraId="1E63E543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5. Доказанные запасы углеводородов по компаниям (на 30.12.2019 и 30.12.2020)</w:t>
      </w:r>
    </w:p>
    <w:p w14:paraId="795F0F55" w14:textId="59DBC563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Анализ проведён по 10 крупнейшим российским нефтегазовым компаниям. Суммарные запасы на конец 2019 года – 246 839,9 млн 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 xml:space="preserve">., на конец 2020 года – 248 633,7 млн 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 xml:space="preserve">. (прирост на 1 793,8 млн 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>., +0,7 %). За базовый ориентир взято ПАО «ЛУКОЙЛ» (крупная ВИНК с прозрачной отчётностью и независимым аудитом).</w:t>
      </w:r>
    </w:p>
    <w:p w14:paraId="4EDC2178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Ключевые данные:</w:t>
      </w:r>
    </w:p>
    <w:p w14:paraId="6DFCE084" w14:textId="3C63D4C3" w:rsidR="004B7B29" w:rsidRPr="004B7B29" w:rsidRDefault="004B7B29" w:rsidP="004B7B29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ПАО «Газпром» – абсолютный лидер: запасы на 30.12.2020 – 178 510 млн 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>. (в 2019 г. – 177 100). Превышение над запасами «ЛУКОЙЛа» – в 11,6 раза. Доля в совокупных запасах – 71,8 %.</w:t>
      </w:r>
    </w:p>
    <w:p w14:paraId="193E25AF" w14:textId="024E7F65" w:rsidR="004B7B29" w:rsidRPr="004B7B29" w:rsidRDefault="004B7B29" w:rsidP="004B7B29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ПАО «НОВАТЭК» – второй по величине: 16 366 млн 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>. на конец 2020 года (+0,6 % к 2019 г.), что на 106,3 % выше уровня «ЛУКОЙЛа».</w:t>
      </w:r>
    </w:p>
    <w:p w14:paraId="00387CA0" w14:textId="1ADA127A" w:rsidR="004B7B29" w:rsidRPr="004B7B29" w:rsidRDefault="004B7B29" w:rsidP="004B7B29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ПАО «ЛУКОЙЛ» – третье место: 15 400 млн 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>. на 30.12.2020 (снижение на 2,5 % к 2019 г.), доля 6,2 %.</w:t>
      </w:r>
    </w:p>
    <w:p w14:paraId="1211B5A2" w14:textId="158642DD" w:rsidR="004B7B29" w:rsidRPr="004B7B29" w:rsidRDefault="004B7B29" w:rsidP="004B7B29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ПАО АНК «Башнефть» – 13 046 млн 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>. (84,7 % от «ЛУКОЙЛа»), доля 5,2 %.</w:t>
      </w:r>
    </w:p>
    <w:p w14:paraId="4C71C179" w14:textId="0DFB26DB" w:rsidR="004B7B29" w:rsidRPr="004B7B29" w:rsidRDefault="004B7B29" w:rsidP="004B7B29">
      <w:pPr>
        <w:numPr>
          <w:ilvl w:val="0"/>
          <w:numId w:val="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ПАО НК «Роснефть» – в отчётности об устойчивом развитии указано 3 489 млн </w:t>
      </w:r>
      <w:proofErr w:type="spellStart"/>
      <w:r w:rsidRPr="004B7B29">
        <w:rPr>
          <w:rFonts w:ascii="Times New Roman" w:hAnsi="Times New Roman" w:cs="Times New Roman"/>
        </w:rPr>
        <w:t>б.н.э</w:t>
      </w:r>
      <w:proofErr w:type="spellEnd"/>
      <w:r w:rsidRPr="004B7B29">
        <w:rPr>
          <w:rFonts w:ascii="Times New Roman" w:hAnsi="Times New Roman" w:cs="Times New Roman"/>
        </w:rPr>
        <w:t>., что не отражает полные запасы по стандартам PRMS/SEC.</w:t>
      </w:r>
    </w:p>
    <w:p w14:paraId="43181AF3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Снижение запасов в 2020 году относительно 2019 года показали: «ЛУКОЙЛ» (–2,5 %), «Роснефть» (–11,3 %), «Татнефть» (–4,7 %), «Славнефть» (–2,4 %), «ЛУКОЙЛ-</w:t>
      </w:r>
      <w:proofErr w:type="spellStart"/>
      <w:r w:rsidRPr="004B7B29">
        <w:rPr>
          <w:rFonts w:ascii="Times New Roman" w:hAnsi="Times New Roman" w:cs="Times New Roman"/>
        </w:rPr>
        <w:t>Калининградморнефть</w:t>
      </w:r>
      <w:proofErr w:type="spellEnd"/>
      <w:r w:rsidRPr="004B7B29">
        <w:rPr>
          <w:rFonts w:ascii="Times New Roman" w:hAnsi="Times New Roman" w:cs="Times New Roman"/>
        </w:rPr>
        <w:t>» (–11,1 %). Рост запасов зафиксирован у «Газпрома» (+0,8 %), «НОВАТЭКа» (+0,6 %), «Башнефти» (+0,2 %), «ЛУКОЙЛ-Пермь» (+46,1 %).</w:t>
      </w:r>
    </w:p>
    <w:p w14:paraId="0ECEC016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6. Международное сопоставление уровней добычи нефти</w:t>
      </w:r>
    </w:p>
    <w:p w14:paraId="2CABBD5F" w14:textId="7CB984BF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Сравнение проведено по 11 странам – крупнейшим производителям, включая Россию, за 2008–2018 гг. Мировая добыча выросла с 3 994 до 4 482 млн тонн (+12,2 %, среднегодовой темп 101,2 %).</w:t>
      </w:r>
    </w:p>
    <w:p w14:paraId="538CB3E3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Тройка мировых лидеров:</w:t>
      </w:r>
    </w:p>
    <w:p w14:paraId="57DDE527" w14:textId="0726D789" w:rsidR="004B7B29" w:rsidRPr="004B7B29" w:rsidRDefault="004B7B29" w:rsidP="004B7B29">
      <w:pPr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Саудовская Аравия – крупнейший производитель на протяжении большей части периода. Добыча выросла с 460 до 575 млн тонн (+25,0 %), среднегодовое значение 523 млн тонн, темп 102,3 %, доля в мире ~12,8 %.</w:t>
      </w:r>
    </w:p>
    <w:p w14:paraId="76ACF343" w14:textId="1ABF628F" w:rsidR="004B7B29" w:rsidRPr="004B7B29" w:rsidRDefault="004B7B29" w:rsidP="004B7B29">
      <w:pPr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Россия – второе место. Добыча выросла с 488 до 556 млн тонн (+13,9 %), среднегодовое значение 523 млн тонн, темп 101,3 %, доля в мире 12,2–12,9 %.</w:t>
      </w:r>
    </w:p>
    <w:p w14:paraId="63FD5955" w14:textId="716E919C" w:rsidR="004B7B29" w:rsidRPr="004B7B29" w:rsidRDefault="004B7B29" w:rsidP="004B7B29">
      <w:pPr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 xml:space="preserve">США – самая динамичная страна благодаря «сланцевой революции». Добыча выросла с 245 до 666 млн тонн (в 2,72 раза), среднегодовое значение 443 млн тонн, темп </w:t>
      </w:r>
      <w:r w:rsidRPr="004B7B29">
        <w:rPr>
          <w:rFonts w:ascii="Times New Roman" w:hAnsi="Times New Roman" w:cs="Times New Roman"/>
        </w:rPr>
        <w:lastRenderedPageBreak/>
        <w:t>110,5 %, доля в мире увеличилась с 6,1 % до 14,9 %, что вывело США на первое место к 2018 году.</w:t>
      </w:r>
    </w:p>
    <w:p w14:paraId="095905CC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Динамика других стран:</w:t>
      </w:r>
    </w:p>
    <w:p w14:paraId="37401683" w14:textId="77777777" w:rsidR="004B7B29" w:rsidRPr="004B7B29" w:rsidRDefault="004B7B29" w:rsidP="004B7B29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Ирак: со 100 до 231 млн тонн (рост в 2,31 раза), среднегодовой темп 108,7 %.</w:t>
      </w:r>
    </w:p>
    <w:p w14:paraId="30AC6A4B" w14:textId="77777777" w:rsidR="004B7B29" w:rsidRPr="004B7B29" w:rsidRDefault="004B7B29" w:rsidP="004B7B29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ОАЭ: с 124 до 179 млн тонн (+44,4 %).</w:t>
      </w:r>
    </w:p>
    <w:p w14:paraId="61769CC1" w14:textId="77777777" w:rsidR="004B7B29" w:rsidRPr="004B7B29" w:rsidRDefault="004B7B29" w:rsidP="004B7B29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Кувейт: с 135 до 147,7 млн тонн (+9,4 %).</w:t>
      </w:r>
    </w:p>
    <w:p w14:paraId="1E688C54" w14:textId="3E34541B" w:rsidR="004B7B29" w:rsidRPr="004B7B29" w:rsidRDefault="004B7B29" w:rsidP="004B7B29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Китай: относительно стабильно в диапазоне 188–215 млн тонн; в 2018 г. – 188 млн тонн (–3,6 % к 2008 г.).</w:t>
      </w:r>
    </w:p>
    <w:p w14:paraId="2BDC41CB" w14:textId="77777777" w:rsidR="004B7B29" w:rsidRPr="004B7B29" w:rsidRDefault="004B7B29" w:rsidP="004B7B29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Норвегия: снижение с 106 до 83,6 млн тонн (–21,1 %).</w:t>
      </w:r>
    </w:p>
    <w:p w14:paraId="3BD4C2F7" w14:textId="148F5771" w:rsidR="004B7B29" w:rsidRPr="004B7B29" w:rsidRDefault="004B7B29" w:rsidP="004B7B29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Великобритания: с 65,5 до 50,9 млн тонн (–22,3 %); минимум в 2014 г. – 40,0 млн тонн.</w:t>
      </w:r>
    </w:p>
    <w:p w14:paraId="6C485CBD" w14:textId="77777777" w:rsidR="004B7B29" w:rsidRPr="004B7B29" w:rsidRDefault="004B7B29" w:rsidP="004B7B29">
      <w:pPr>
        <w:numPr>
          <w:ilvl w:val="0"/>
          <w:numId w:val="8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Украина: с 4,3 до 2,3 млн тонн (–46,5 %).</w:t>
      </w:r>
    </w:p>
    <w:p w14:paraId="2F1AA4CA" w14:textId="5C01C93B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В 2018 году мировая добыча в баррелях составила 32 629,0 млн баррелей. Россия – 4 047,7 млн, США – 4 848,5 млн, Саудовская Аравия – 4 186,0 млн.</w:t>
      </w:r>
    </w:p>
    <w:p w14:paraId="2C30A30A" w14:textId="4BFF52FA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По сравнению с 2010 годом, в 2018 году мировая добыча – 112,3 %, России – 109,9 %, США – 201,8 %, Ирака – 197,4 %, ОАЭ – 133,6 %, Великобритании – 80,8 %, Норвегии – 83,9 %.</w:t>
      </w:r>
    </w:p>
    <w:p w14:paraId="60EB7F50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7. Данные по категориям производителей за 2018 год</w:t>
      </w:r>
    </w:p>
    <w:p w14:paraId="4580013F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В 2018 году в России работало 198 нефтегазовых компаний:</w:t>
      </w:r>
    </w:p>
    <w:p w14:paraId="5ABC97EA" w14:textId="7E1CAF22" w:rsidR="004B7B29" w:rsidRPr="004B7B29" w:rsidRDefault="004B7B29" w:rsidP="004B7B29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ВИНК (включая «Газпром») – 11 компаний (5,6 % от общего числа). Добыча – 473,7 млн тонн (85,2 %). Среднесуточный дебит – 8,7 т/</w:t>
      </w:r>
      <w:proofErr w:type="spellStart"/>
      <w:r w:rsidRPr="004B7B29">
        <w:rPr>
          <w:rFonts w:ascii="Times New Roman" w:hAnsi="Times New Roman" w:cs="Times New Roman"/>
        </w:rPr>
        <w:t>сут</w:t>
      </w:r>
      <w:proofErr w:type="spellEnd"/>
      <w:r w:rsidRPr="004B7B29">
        <w:rPr>
          <w:rFonts w:ascii="Times New Roman" w:hAnsi="Times New Roman" w:cs="Times New Roman"/>
        </w:rPr>
        <w:t>., средняя глубина скважины – 2 436 м. Количество скважин – 149,2 тыс. (84,0 % от общего фонда).</w:t>
      </w:r>
    </w:p>
    <w:p w14:paraId="101CD788" w14:textId="2537E7C6" w:rsidR="004B7B29" w:rsidRPr="004B7B29" w:rsidRDefault="004B7B29" w:rsidP="004B7B29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Независимые производители – 184 компании (92,9 %). Добыча – 63,5 млн тонн (11,4 %). Дебит – 10,2 т/</w:t>
      </w:r>
      <w:proofErr w:type="spellStart"/>
      <w:r w:rsidRPr="004B7B29">
        <w:rPr>
          <w:rFonts w:ascii="Times New Roman" w:hAnsi="Times New Roman" w:cs="Times New Roman"/>
        </w:rPr>
        <w:t>сут</w:t>
      </w:r>
      <w:proofErr w:type="spellEnd"/>
      <w:r w:rsidRPr="004B7B29">
        <w:rPr>
          <w:rFonts w:ascii="Times New Roman" w:hAnsi="Times New Roman" w:cs="Times New Roman"/>
        </w:rPr>
        <w:t>., глубина – 2 290 м. Скважин – 17,1 тыс. (9,6 %).</w:t>
      </w:r>
    </w:p>
    <w:p w14:paraId="3D8548FC" w14:textId="4953701C" w:rsidR="004B7B29" w:rsidRPr="004B7B29" w:rsidRDefault="004B7B29" w:rsidP="004B7B29">
      <w:pPr>
        <w:numPr>
          <w:ilvl w:val="0"/>
          <w:numId w:val="9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Операторы СРП – 3 компании (1,5 %). Добыча – 18,7 млн тонн (3,4 %). Дебит – 4,5 т/</w:t>
      </w:r>
      <w:proofErr w:type="spellStart"/>
      <w:r w:rsidRPr="004B7B29">
        <w:rPr>
          <w:rFonts w:ascii="Times New Roman" w:hAnsi="Times New Roman" w:cs="Times New Roman"/>
        </w:rPr>
        <w:t>сут</w:t>
      </w:r>
      <w:proofErr w:type="spellEnd"/>
      <w:r w:rsidRPr="004B7B29">
        <w:rPr>
          <w:rFonts w:ascii="Times New Roman" w:hAnsi="Times New Roman" w:cs="Times New Roman"/>
        </w:rPr>
        <w:t>., глубина – 1 721 м. Скважин – 11,4 тыс. (6,4 %).</w:t>
      </w:r>
    </w:p>
    <w:p w14:paraId="3D4DB773" w14:textId="4CA8793A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Средневзвешенные по России показатели: дебит – 10,0 т/</w:t>
      </w:r>
      <w:proofErr w:type="spellStart"/>
      <w:r w:rsidRPr="004B7B29">
        <w:rPr>
          <w:rFonts w:ascii="Times New Roman" w:hAnsi="Times New Roman" w:cs="Times New Roman"/>
        </w:rPr>
        <w:t>сут</w:t>
      </w:r>
      <w:proofErr w:type="spellEnd"/>
      <w:r w:rsidRPr="004B7B29">
        <w:rPr>
          <w:rFonts w:ascii="Times New Roman" w:hAnsi="Times New Roman" w:cs="Times New Roman"/>
        </w:rPr>
        <w:t>., глубина – 2 376 м.</w:t>
      </w:r>
    </w:p>
    <w:p w14:paraId="698390B0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Отрасль характеризуется высокой концентрацией: 5,6 % компаний (ВИНК) дают 85,2 % добычи. У независимых производителей самый высокий дебит, но их доля ограничена малым количеством скважин и низкой производительностью мелких компаний.</w:t>
      </w:r>
    </w:p>
    <w:p w14:paraId="7752AEF0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8. Данные по отдельным нефтегазовым компаниям за 2018 год</w:t>
      </w:r>
    </w:p>
    <w:p w14:paraId="3A0E28D2" w14:textId="1A2B9501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По итогам 2018 года суммарная добыча 198 компаний – 555 951 тыс. тонн. Среднее значение на одну компанию – 2 807,8 тыс. тонн. Максимум – 89 620 тыс. тонн (крупнейшая ВИНК), минимум – 25 тыс. тонн (независимый производитель). Размах – 89 595 тыс. тонн. Медиана (297,5 тыс. тонн) намного ниже среднего, что указывает на сильную асимметрию: большинство компаний имеют небольшие объёмы, а основная добыча сосредоточена у узкой группы лидеров. Коэффициент вариации ~400 % – крайне высокая неоднородность.</w:t>
      </w:r>
    </w:p>
    <w:p w14:paraId="4C40CF0A" w14:textId="2D5AFE5B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В 2018 году введено 7 256 новых нефтяных скважин. В среднем на компанию – 36,6 единиц, максимум – 1 607 (у крупнейшей ВИНК), минимум – 0 (у ряда мелких независимых). Медиана – 4 единицы.</w:t>
      </w:r>
    </w:p>
    <w:p w14:paraId="6D5388CC" w14:textId="77015185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Совокупный фонд скважин – 177 614 единиц. Среднее – 897,0 скважины, максимум – 34 920 (крупнейшая ВИНК), минимум – 9 (наименьший независимый производитель). Медиана – 76 скважин.</w:t>
      </w:r>
    </w:p>
    <w:p w14:paraId="38B3F5F7" w14:textId="5D9C35C0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Среднесуточный дебит в среднем по компаниям – 10,1 т/</w:t>
      </w:r>
      <w:proofErr w:type="spellStart"/>
      <w:r w:rsidRPr="004B7B29">
        <w:rPr>
          <w:rFonts w:ascii="Times New Roman" w:hAnsi="Times New Roman" w:cs="Times New Roman"/>
        </w:rPr>
        <w:t>сут</w:t>
      </w:r>
      <w:proofErr w:type="spellEnd"/>
      <w:r w:rsidRPr="004B7B29">
        <w:rPr>
          <w:rFonts w:ascii="Times New Roman" w:hAnsi="Times New Roman" w:cs="Times New Roman"/>
        </w:rPr>
        <w:t>., максимум – 16,8 т/</w:t>
      </w:r>
      <w:proofErr w:type="spellStart"/>
      <w:r w:rsidRPr="004B7B29">
        <w:rPr>
          <w:rFonts w:ascii="Times New Roman" w:hAnsi="Times New Roman" w:cs="Times New Roman"/>
        </w:rPr>
        <w:t>сут</w:t>
      </w:r>
      <w:proofErr w:type="spellEnd"/>
      <w:r w:rsidRPr="004B7B29">
        <w:rPr>
          <w:rFonts w:ascii="Times New Roman" w:hAnsi="Times New Roman" w:cs="Times New Roman"/>
        </w:rPr>
        <w:t>., минимум – 2,1 т/</w:t>
      </w:r>
      <w:proofErr w:type="spellStart"/>
      <w:r w:rsidRPr="004B7B29">
        <w:rPr>
          <w:rFonts w:ascii="Times New Roman" w:hAnsi="Times New Roman" w:cs="Times New Roman"/>
        </w:rPr>
        <w:t>сут</w:t>
      </w:r>
      <w:proofErr w:type="spellEnd"/>
      <w:r w:rsidRPr="004B7B29">
        <w:rPr>
          <w:rFonts w:ascii="Times New Roman" w:hAnsi="Times New Roman" w:cs="Times New Roman"/>
        </w:rPr>
        <w:t>., медиана – 9,7 т/</w:t>
      </w:r>
      <w:proofErr w:type="spellStart"/>
      <w:r w:rsidRPr="004B7B29">
        <w:rPr>
          <w:rFonts w:ascii="Times New Roman" w:hAnsi="Times New Roman" w:cs="Times New Roman"/>
        </w:rPr>
        <w:t>сут</w:t>
      </w:r>
      <w:proofErr w:type="spellEnd"/>
      <w:r w:rsidRPr="004B7B29">
        <w:rPr>
          <w:rFonts w:ascii="Times New Roman" w:hAnsi="Times New Roman" w:cs="Times New Roman"/>
        </w:rPr>
        <w:t>. Коэффициент вариации 29,3 % – умеренная вариативность.</w:t>
      </w:r>
    </w:p>
    <w:p w14:paraId="6AEFE84F" w14:textId="04A2D288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lastRenderedPageBreak/>
        <w:t>Лидер по объёму добычи в 2018 году – компания категории ВИНК (89 620 тыс. тонн), что соответствует ПАО НК «Роснефть». В пятёрку крупнейших также вошли ПАО «ЛУКОЙЛ» (~79 530 тыс. тонн), ПАО «Сургутнефтегаз» (58 748 тыс. тонн), ПАО «Газпром нефть» (57 911 тыс. тонн) и ПАО «Татнефть» (42 540 тыс. тонн).</w:t>
      </w:r>
    </w:p>
    <w:p w14:paraId="10B007E7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  <w:b/>
          <w:bCs/>
        </w:rPr>
        <w:t>Заключение</w:t>
      </w:r>
    </w:p>
    <w:p w14:paraId="4C2BDD4B" w14:textId="77777777" w:rsidR="004B7B29" w:rsidRPr="004B7B29" w:rsidRDefault="004B7B29" w:rsidP="004B7B29">
      <w:pPr>
        <w:spacing w:after="0" w:line="276" w:lineRule="auto"/>
        <w:ind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На основе проведённого анализа можно сделать следующие обобщающие выводы о состоянии и развитии нефтедобывающей отрасли России в 2008–2019 годах:</w:t>
      </w:r>
    </w:p>
    <w:p w14:paraId="49D55ED0" w14:textId="77777777" w:rsidR="004B7B29" w:rsidRPr="004B7B29" w:rsidRDefault="004B7B29" w:rsidP="004B7B29">
      <w:pPr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Отрасль развивалась устойчиво: добыча выросла с 488,6 до 561,2 млн тонн (+14,9 %) при среднегодовом темпе 101,3 %, что позволило России сохранить место в числе мировых лидеров.</w:t>
      </w:r>
    </w:p>
    <w:p w14:paraId="19A31FDD" w14:textId="77777777" w:rsidR="004B7B29" w:rsidRPr="004B7B29" w:rsidRDefault="004B7B29" w:rsidP="004B7B29">
      <w:pPr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Структура производителей заметно меняется: доминирование ВИНК сохраняется, но их доля снижается (с 89,3 % до 84,7 %) при росте доли независимых (с 8,2 % до 11,8 %) и операторов СРП (с 2,5 % до 3,5 %).</w:t>
      </w:r>
    </w:p>
    <w:p w14:paraId="220A3402" w14:textId="77777777" w:rsidR="004B7B29" w:rsidRPr="004B7B29" w:rsidRDefault="004B7B29" w:rsidP="004B7B29">
      <w:pPr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В региональном плане подтверждается стратегическая важность восточных территорий: добыча в Восточной Сибири и на Дальнем Востоке за 2014–2019 гг. выросла на 29,3 %, что значительно выше, чем в Западной Сибири (+2,1 %) и Европейской части (+6,9 %).</w:t>
      </w:r>
    </w:p>
    <w:p w14:paraId="7C79F894" w14:textId="77777777" w:rsidR="004B7B29" w:rsidRPr="004B7B29" w:rsidRDefault="004B7B29" w:rsidP="004B7B29">
      <w:pPr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Растёт значимость шельфовой добычи и новых месторождений, что отражает усилия по расширению ресурсной базы и компенсации истощения традиционных запасов.</w:t>
      </w:r>
    </w:p>
    <w:p w14:paraId="6E424D62" w14:textId="77777777" w:rsidR="004B7B29" w:rsidRPr="004B7B29" w:rsidRDefault="004B7B29" w:rsidP="004B7B29">
      <w:pPr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4B7B29">
        <w:rPr>
          <w:rFonts w:ascii="Times New Roman" w:hAnsi="Times New Roman" w:cs="Times New Roman"/>
        </w:rPr>
        <w:t>Фонд скважин последовательно увеличивается (с 157,8 до 180,4 тыс.), однако средний дебит снижается, что говорит о постепенном падении продуктивности в традиционных регионах.</w:t>
      </w:r>
    </w:p>
    <w:p w14:paraId="009FA01E" w14:textId="77777777" w:rsidR="004B7B29" w:rsidRPr="004B7B29" w:rsidRDefault="004B7B29" w:rsidP="004B7B29">
      <w:pPr>
        <w:numPr>
          <w:ilvl w:val="0"/>
          <w:numId w:val="10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7B29">
        <w:rPr>
          <w:rFonts w:ascii="Times New Roman" w:hAnsi="Times New Roman" w:cs="Times New Roman"/>
        </w:rPr>
        <w:t>На международной арене Россия остаётся одним из мировых лидеров (~12,5 % мировой добычи), но сталкивается с растущей конкуренцией со стороны США, которые за тот же период увеличили свою долю с 6,1 % до 14,9 %.</w:t>
      </w:r>
    </w:p>
    <w:p w14:paraId="23F7DB64" w14:textId="77777777" w:rsidR="004B7B29" w:rsidRPr="004B7B29" w:rsidRDefault="004B7B29" w:rsidP="004B7B29">
      <w:p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570504F" w14:textId="6FBB5EED" w:rsidR="004B7B29" w:rsidRPr="00DC5C4E" w:rsidRDefault="00DC5C4E" w:rsidP="00DC5C4E">
      <w:pPr>
        <w:spacing w:after="0" w:line="276" w:lineRule="auto"/>
        <w:jc w:val="both"/>
        <w:rPr>
          <w:rFonts w:ascii="Times New Roman" w:hAnsi="Times New Roman" w:cs="Times New Roman"/>
        </w:rPr>
      </w:pPr>
      <w:r w:rsidRPr="00DC5C4E">
        <w:rPr>
          <w:rFonts w:ascii="Times New Roman" w:hAnsi="Times New Roman" w:cs="Times New Roman"/>
          <w:i/>
          <w:iCs/>
        </w:rPr>
        <w:t>Источники данных: ЦДУ ТЭК; Росстат; годовые отчёты и отчёты об устойчивом развитии ПАО «Газпром»,</w:t>
      </w:r>
      <w:r w:rsidRPr="00DC5C4E">
        <w:rPr>
          <w:rFonts w:ascii="Times New Roman" w:hAnsi="Times New Roman" w:cs="Times New Roman"/>
          <w:i/>
          <w:iCs/>
        </w:rPr>
        <w:t xml:space="preserve"> </w:t>
      </w:r>
      <w:r w:rsidRPr="00DC5C4E">
        <w:rPr>
          <w:rFonts w:ascii="Times New Roman" w:hAnsi="Times New Roman" w:cs="Times New Roman"/>
          <w:i/>
          <w:iCs/>
        </w:rPr>
        <w:t>ПАО «НОВАТЭК»</w:t>
      </w:r>
      <w:r w:rsidRPr="00DC5C4E">
        <w:rPr>
          <w:rFonts w:ascii="Times New Roman" w:hAnsi="Times New Roman" w:cs="Times New Roman"/>
          <w:i/>
          <w:iCs/>
        </w:rPr>
        <w:t xml:space="preserve">, </w:t>
      </w:r>
      <w:r w:rsidRPr="00DC5C4E">
        <w:rPr>
          <w:rFonts w:ascii="Times New Roman" w:hAnsi="Times New Roman" w:cs="Times New Roman"/>
          <w:i/>
          <w:iCs/>
        </w:rPr>
        <w:t>ПАО АНК «Башнефть», ПАО «НГК Славнефть», ПАО «ЛУКОЙЛ-Пермь», ПАО НК «Роснефть», ООО «ЛУКОЙЛ-</w:t>
      </w:r>
      <w:proofErr w:type="spellStart"/>
      <w:r w:rsidRPr="00DC5C4E">
        <w:rPr>
          <w:rFonts w:ascii="Times New Roman" w:hAnsi="Times New Roman" w:cs="Times New Roman"/>
          <w:i/>
          <w:iCs/>
        </w:rPr>
        <w:t>Калининградморнефть</w:t>
      </w:r>
      <w:proofErr w:type="spellEnd"/>
      <w:r w:rsidRPr="00DC5C4E">
        <w:rPr>
          <w:rFonts w:ascii="Times New Roman" w:hAnsi="Times New Roman" w:cs="Times New Roman"/>
          <w:i/>
          <w:iCs/>
        </w:rPr>
        <w:t>», ПАО «Татнефть», ПАО «ЛУКОЙЛ», ПАО НК «Русснефть».</w:t>
      </w:r>
    </w:p>
    <w:sectPr w:rsidR="004B7B29" w:rsidRPr="00DC5C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B0B6D"/>
    <w:multiLevelType w:val="multilevel"/>
    <w:tmpl w:val="B4C80C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B5D1E"/>
    <w:multiLevelType w:val="multilevel"/>
    <w:tmpl w:val="942840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23DF3"/>
    <w:multiLevelType w:val="multilevel"/>
    <w:tmpl w:val="2F308E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9A7268"/>
    <w:multiLevelType w:val="multilevel"/>
    <w:tmpl w:val="C6AE8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014D6"/>
    <w:multiLevelType w:val="multilevel"/>
    <w:tmpl w:val="B3E035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1594D"/>
    <w:multiLevelType w:val="multilevel"/>
    <w:tmpl w:val="A29020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D180C"/>
    <w:multiLevelType w:val="multilevel"/>
    <w:tmpl w:val="4B0EE13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2F378D"/>
    <w:multiLevelType w:val="multilevel"/>
    <w:tmpl w:val="35FEA57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E35187"/>
    <w:multiLevelType w:val="multilevel"/>
    <w:tmpl w:val="692E69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784D3D"/>
    <w:multiLevelType w:val="multilevel"/>
    <w:tmpl w:val="AC68C06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083021">
    <w:abstractNumId w:val="3"/>
  </w:num>
  <w:num w:numId="2" w16cid:durableId="32852373">
    <w:abstractNumId w:val="4"/>
  </w:num>
  <w:num w:numId="3" w16cid:durableId="846286966">
    <w:abstractNumId w:val="1"/>
  </w:num>
  <w:num w:numId="4" w16cid:durableId="805661313">
    <w:abstractNumId w:val="9"/>
  </w:num>
  <w:num w:numId="5" w16cid:durableId="1609699574">
    <w:abstractNumId w:val="2"/>
  </w:num>
  <w:num w:numId="6" w16cid:durableId="1375735551">
    <w:abstractNumId w:val="8"/>
  </w:num>
  <w:num w:numId="7" w16cid:durableId="581644924">
    <w:abstractNumId w:val="7"/>
  </w:num>
  <w:num w:numId="8" w16cid:durableId="1168865516">
    <w:abstractNumId w:val="6"/>
  </w:num>
  <w:num w:numId="9" w16cid:durableId="1720280771">
    <w:abstractNumId w:val="5"/>
  </w:num>
  <w:num w:numId="10" w16cid:durableId="145313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B29"/>
    <w:rsid w:val="000B3AA1"/>
    <w:rsid w:val="004B7B29"/>
    <w:rsid w:val="006E1473"/>
    <w:rsid w:val="00DC5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9AA52"/>
  <w15:chartTrackingRefBased/>
  <w15:docId w15:val="{496CAE38-763F-4D57-BC71-9315088D9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B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B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7B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7B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7B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7B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7B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7B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7B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7B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7B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7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7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7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7B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7B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7B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7B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7B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7B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2615</Words>
  <Characters>14907</Characters>
  <Application>Microsoft Office Word</Application>
  <DocSecurity>0</DocSecurity>
  <Lines>124</Lines>
  <Paragraphs>34</Paragraphs>
  <ScaleCrop>false</ScaleCrop>
  <Company/>
  <LinksUpToDate>false</LinksUpToDate>
  <CharactersWithSpaces>17488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Гордиевский</dc:creator>
  <cp:keywords/>
  <dc:description/>
  <cp:lastModifiedBy>Роман Гордиевский</cp:lastModifiedBy>
  <cp:revision>2</cp:revision>
  <dcterms:created xsi:type="dcterms:W3CDTF">2026-05-17T20:10:00Z</dcterms:created>
  <dcterms:modified xsi:type="dcterms:W3CDTF">2026-05-17T20:10:00Z</dcterms:modified>
</cp:coreProperties>
</file>