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1C32"/>
          <w:sz w:val="56"/>
        </w:rPr>
        <w:t>La Villa ou la Banqueroute</w:t>
      </w:r>
    </w:p>
    <w:p>
      <w:pPr>
        <w:jc w:val="center"/>
      </w:pPr>
      <w:r>
        <w:rPr>
          <w:color w:val="4A5B6D"/>
          <w:sz w:val="28"/>
        </w:rPr>
        <w:t>Chaque mois, choisir sa vie. Jusqu'à l'indépendance financière — ou la chute.</w:t>
      </w:r>
    </w:p>
    <w:p/>
    <w:p>
      <w:pPr>
        <w:jc w:val="center"/>
      </w:pPr>
      <w:r>
        <w:rPr>
          <w:b/>
          <w:color w:val="00AAD2"/>
          <w:sz w:val="26"/>
        </w:rPr>
        <w:t>Dossier de présentation · version investisseur</w:t>
      </w:r>
    </w:p>
    <w:p>
      <w:r>
        <w:br w:type="page"/>
      </w:r>
    </w:p>
    <w:p>
      <w:pPr>
        <w:pStyle w:val="Heading1"/>
      </w:pPr>
      <w:r>
        <w:t>Résumé exécutif</w:t>
      </w:r>
    </w:p>
    <w:p>
      <w:r>
        <w:rPr>
          <w:b w:val="0"/>
        </w:rPr>
        <w:t>La Villa ou la Banqueroute est un simulateur de vie financière et personnelle sur PC. Le joueur incarne un jeune diplômé et avance mois après mois, en arbitrant une ressource centrale : son énergie. Chaque décision affecte l’argent, les dettes, la carrière, la santé mentale, la famille, le réseau, les investissements et l’entrepreneuriat.</w:t>
      </w:r>
    </w:p>
    <w:p>
      <w:r>
        <w:rPr>
          <w:b w:val="0"/>
        </w:rPr>
        <w:t>L’ambition n’est pas de créer un simple jeu éducatif, mais une expérience de gestion narrative : un jeu sérieux dans ses systèmes, attractif dans son interface, et suffisamment cruel pour créer des dilemmes mémorables.</w:t>
      </w:r>
    </w:p>
    <w:p>
      <w:pPr>
        <w:pStyle w:val="Heading1"/>
      </w:pPr>
      <w:r>
        <w:t>Proposition de valeur</w:t>
      </w:r>
    </w:p>
    <w:tbl>
      <w:tblPr>
        <w:tblStyle w:val="TableGrid"/>
        <w:tblW w:type="auto" w:w="0"/>
        <w:jc w:val="center"/>
        <w:tblLook w:firstColumn="1" w:firstRow="1" w:lastColumn="0" w:lastRow="0" w:noHBand="0" w:noVBand="1" w:val="04A0"/>
      </w:tblPr>
      <w:tblGrid>
        <w:gridCol w:w="5040"/>
        <w:gridCol w:w="5040"/>
      </w:tblGrid>
      <w:tr>
        <w:tc>
          <w:tcPr>
            <w:tcW w:type="dxa" w:w="5040"/>
            <w:shd w:fill="0A1C32"/>
          </w:tcPr>
          <w:p>
            <w:r/>
            <w:r>
              <w:rPr>
                <w:b/>
                <w:color w:val="FFFFFF"/>
                <w:sz w:val="18"/>
              </w:rPr>
              <w:t>Pilier</w:t>
            </w:r>
          </w:p>
        </w:tc>
        <w:tc>
          <w:tcPr>
            <w:tcW w:type="dxa" w:w="5040"/>
            <w:shd w:fill="0A1C32"/>
          </w:tcPr>
          <w:p>
            <w:r/>
            <w:r>
              <w:rPr>
                <w:b/>
                <w:color w:val="FFFFFF"/>
                <w:sz w:val="18"/>
              </w:rPr>
              <w:t>Description</w:t>
            </w:r>
          </w:p>
        </w:tc>
      </w:tr>
      <w:tr>
        <w:tc>
          <w:tcPr>
            <w:tcW w:type="dxa" w:w="5040"/>
            <w:vAlign w:val="top"/>
          </w:tcPr>
          <w:p>
            <w:r>
              <w:t>Gestion de vie</w:t>
            </w:r>
          </w:p>
        </w:tc>
        <w:tc>
          <w:tcPr>
            <w:tcW w:type="dxa" w:w="5040"/>
            <w:vAlign w:val="top"/>
          </w:tcPr>
          <w:p>
            <w:r>
              <w:t>Carrière, banque, investissement, startup, vie personnelle, réseau et actualités.</w:t>
            </w:r>
          </w:p>
        </w:tc>
      </w:tr>
      <w:tr>
        <w:tc>
          <w:tcPr>
            <w:tcW w:type="dxa" w:w="5040"/>
            <w:vAlign w:val="top"/>
          </w:tcPr>
          <w:p>
            <w:r>
              <w:t>Interface distinctive</w:t>
            </w:r>
          </w:p>
        </w:tc>
        <w:tc>
          <w:tcPr>
            <w:tcW w:type="dxa" w:w="5040"/>
            <w:vAlign w:val="top"/>
          </w:tcPr>
          <w:p>
            <w:r>
              <w:t>Une page d’arrivée façon bureau PC, avec raccourcis et notifications privées/publiques.</w:t>
            </w:r>
          </w:p>
        </w:tc>
      </w:tr>
      <w:tr>
        <w:tc>
          <w:tcPr>
            <w:tcW w:type="dxa" w:w="5040"/>
            <w:vAlign w:val="top"/>
          </w:tcPr>
          <w:p>
            <w:r>
              <w:t>Données et ML</w:t>
            </w:r>
          </w:p>
        </w:tc>
        <w:tc>
          <w:tcPr>
            <w:tcW w:type="dxa" w:w="5040"/>
            <w:vAlign w:val="top"/>
          </w:tcPr>
          <w:p>
            <w:r>
              <w:t>Actifs financiers, immobilier, inflation et scénarios prédictifs intégrés progressivement.</w:t>
            </w:r>
          </w:p>
        </w:tc>
      </w:tr>
      <w:tr>
        <w:tc>
          <w:tcPr>
            <w:tcW w:type="dxa" w:w="5040"/>
            <w:vAlign w:val="top"/>
          </w:tcPr>
          <w:p>
            <w:r>
              <w:t>Narration systémique</w:t>
            </w:r>
          </w:p>
        </w:tc>
        <w:tc>
          <w:tcPr>
            <w:tcW w:type="dxa" w:w="5040"/>
            <w:vAlign w:val="top"/>
          </w:tcPr>
          <w:p>
            <w:r>
              <w:t>Le jeu raconte la trajectoire du joueur par ses choix, ses échecs et ses bilans.</w:t>
            </w:r>
          </w:p>
        </w:tc>
      </w:tr>
    </w:tbl>
    <w:p/>
    <w:p>
      <w:pPr>
        <w:pStyle w:val="Heading1"/>
      </w:pPr>
      <w:r>
        <w:t>Marché et timing</w:t>
      </w:r>
    </w:p>
    <w:p>
      <w:r>
        <w:rPr>
          <w:b w:val="0"/>
        </w:rPr>
        <w:t>Le marché mondial du jeu vidéo reste massif : Newzoo, cité par Reuters, estimait le marché 2025 autour de 188,9 milliards de dollars. En France, Le Monde, à partir des données du SELL, rapporte un marché 2024 à 5,7 milliards d’euros, avec un PC en hausse de 9 % et le mobile en hausse de 8 % malgré une baisse globale du marché.</w:t>
      </w:r>
    </w:p>
    <w:p>
      <w:r>
        <w:rPr>
          <w:b w:val="0"/>
        </w:rPr>
        <w:t>Ce contexte est intéressant pour un projet PC premium de niche : le jeu ne cherche pas à concurrencer directement les blockbusters, mais à occuper un angle clair — la gestion de vie financière, portée par une interface PC et une boucle de décision personnelle.</w:t>
      </w:r>
    </w:p>
    <w:p>
      <w:pPr>
        <w:pStyle w:val="Heading1"/>
      </w:pPr>
      <w:r>
        <w:t>Gameplay</w:t>
      </w:r>
    </w:p>
    <w:p>
      <w:pPr>
        <w:pStyle w:val="ListBullet"/>
      </w:pPr>
      <w:r>
        <w:t>Tour mensuel : le joueur avance de mois en mois.</w:t>
      </w:r>
    </w:p>
    <w:p>
      <w:pPr>
        <w:pStyle w:val="ListBullet"/>
      </w:pPr>
      <w:r>
        <w:t>Énergie mensuelle : ressource à répartir entre travail, famille, startup, réseau, marchés et repos.</w:t>
      </w:r>
    </w:p>
    <w:p>
      <w:pPr>
        <w:pStyle w:val="ListBullet"/>
      </w:pPr>
      <w:r>
        <w:t>Variables principales : cash, dettes, revenus, santé mentale, famille, stress, réseau, XP, portefeuille, startup.</w:t>
      </w:r>
    </w:p>
    <w:p>
      <w:pPr>
        <w:pStyle w:val="ListBullet"/>
      </w:pPr>
      <w:r>
        <w:t>Événements : privés (famille, santé, relation) et publics (bourse, immobilier, crise, pandémie, opportunités).</w:t>
      </w:r>
    </w:p>
    <w:p>
      <w:pPr>
        <w:pStyle w:val="ListBullet"/>
      </w:pPr>
      <w:r>
        <w:t>Fin de partie : indépendance financière ou échec ; bilan graphique plutôt que score arbitraire.</w:t>
      </w:r>
    </w:p>
    <w:p>
      <w:pPr>
        <w:pStyle w:val="Heading1"/>
      </w:pPr>
      <w:r>
        <w:t>État du prototype</w:t>
      </w:r>
    </w:p>
    <w:tbl>
      <w:tblPr>
        <w:tblStyle w:val="TableGrid"/>
        <w:tblW w:type="auto" w:w="0"/>
        <w:jc w:val="center"/>
        <w:tblLook w:firstColumn="1" w:firstRow="1" w:lastColumn="0" w:lastRow="0" w:noHBand="0" w:noVBand="1" w:val="04A0"/>
      </w:tblPr>
      <w:tblGrid>
        <w:gridCol w:w="5040"/>
        <w:gridCol w:w="5040"/>
      </w:tblGrid>
      <w:tr>
        <w:tc>
          <w:tcPr>
            <w:tcW w:type="dxa" w:w="5040"/>
            <w:shd w:fill="0A1C32"/>
          </w:tcPr>
          <w:p>
            <w:r/>
            <w:r>
              <w:rPr>
                <w:b/>
                <w:color w:val="FFFFFF"/>
                <w:sz w:val="18"/>
              </w:rPr>
              <w:t>Élément</w:t>
            </w:r>
          </w:p>
        </w:tc>
        <w:tc>
          <w:tcPr>
            <w:tcW w:type="dxa" w:w="5040"/>
            <w:shd w:fill="0A1C32"/>
          </w:tcPr>
          <w:p>
            <w:r/>
            <w:r>
              <w:rPr>
                <w:b/>
                <w:color w:val="FFFFFF"/>
                <w:sz w:val="18"/>
              </w:rPr>
              <w:t>État</w:t>
            </w:r>
          </w:p>
        </w:tc>
      </w:tr>
      <w:tr>
        <w:tc>
          <w:tcPr>
            <w:tcW w:type="dxa" w:w="5040"/>
            <w:vAlign w:val="top"/>
          </w:tcPr>
          <w:p>
            <w:r>
              <w:t>Unity / Git</w:t>
            </w:r>
          </w:p>
        </w:tc>
        <w:tc>
          <w:tcPr>
            <w:tcW w:type="dxa" w:w="5040"/>
            <w:vAlign w:val="top"/>
          </w:tcPr>
          <w:p>
            <w:r>
              <w:t>Projet structuré dans le repo, branche prototype dédiée.</w:t>
            </w:r>
          </w:p>
        </w:tc>
      </w:tr>
      <w:tr>
        <w:tc>
          <w:tcPr>
            <w:tcW w:type="dxa" w:w="5040"/>
            <w:vAlign w:val="top"/>
          </w:tcPr>
          <w:p>
            <w:r>
              <w:t>Interface</w:t>
            </w:r>
          </w:p>
        </w:tc>
        <w:tc>
          <w:tcPr>
            <w:tcW w:type="dxa" w:w="5040"/>
            <w:vAlign w:val="top"/>
          </w:tcPr>
          <w:p>
            <w:r>
              <w:t>Dashboard desktop + pages V3 + tentative de bureau Windows.</w:t>
            </w:r>
          </w:p>
        </w:tc>
      </w:tr>
      <w:tr>
        <w:tc>
          <w:tcPr>
            <w:tcW w:type="dxa" w:w="5040"/>
            <w:vAlign w:val="top"/>
          </w:tcPr>
          <w:p>
            <w:r>
              <w:t>Systèmes</w:t>
            </w:r>
          </w:p>
        </w:tc>
        <w:tc>
          <w:tcPr>
            <w:tcW w:type="dxa" w:w="5040"/>
            <w:vAlign w:val="top"/>
          </w:tcPr>
          <w:p>
            <w:r>
              <w:t>Turn manager, PlayerState, événements, variables de simulation.</w:t>
            </w:r>
          </w:p>
        </w:tc>
      </w:tr>
      <w:tr>
        <w:tc>
          <w:tcPr>
            <w:tcW w:type="dxa" w:w="5040"/>
            <w:vAlign w:val="top"/>
          </w:tcPr>
          <w:p>
            <w:r>
              <w:t>Pages</w:t>
            </w:r>
          </w:p>
        </w:tc>
        <w:tc>
          <w:tcPr>
            <w:tcW w:type="dxa" w:w="5040"/>
            <w:vAlign w:val="top"/>
          </w:tcPr>
          <w:p>
            <w:r>
              <w:t>Salariat, investissement, banque, entrepreneuriat, vie perso, réseau, actualités.</w:t>
            </w:r>
          </w:p>
        </w:tc>
      </w:tr>
      <w:tr>
        <w:tc>
          <w:tcPr>
            <w:tcW w:type="dxa" w:w="5040"/>
            <w:vAlign w:val="top"/>
          </w:tcPr>
          <w:p>
            <w:r>
              <w:t>Risque actuel</w:t>
            </w:r>
          </w:p>
        </w:tc>
        <w:tc>
          <w:tcPr>
            <w:tcW w:type="dxa" w:w="5040"/>
            <w:vAlign w:val="top"/>
          </w:tcPr>
          <w:p>
            <w:r>
              <w:t>Nettoyage UI nécessaire avant présentation externe.</w:t>
            </w:r>
          </w:p>
        </w:tc>
      </w:tr>
    </w:tbl>
    <w:p/>
    <w:p>
      <w:pPr>
        <w:pStyle w:val="Heading1"/>
      </w:pPr>
      <w:r>
        <w:t>Roadmap recommandée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0A1C32"/>
          </w:tcPr>
          <w:p>
            <w:r/>
            <w:r>
              <w:rPr>
                <w:b/>
                <w:color w:val="FFFFFF"/>
                <w:sz w:val="18"/>
              </w:rPr>
              <w:t>Phase</w:t>
            </w:r>
          </w:p>
        </w:tc>
        <w:tc>
          <w:tcPr>
            <w:tcW w:type="dxa" w:w="3360"/>
            <w:shd w:fill="0A1C32"/>
          </w:tcPr>
          <w:p>
            <w:r/>
            <w:r>
              <w:rPr>
                <w:b/>
                <w:color w:val="FFFFFF"/>
                <w:sz w:val="18"/>
              </w:rPr>
              <w:t>Objectif</w:t>
            </w:r>
          </w:p>
        </w:tc>
        <w:tc>
          <w:tcPr>
            <w:tcW w:type="dxa" w:w="3360"/>
            <w:shd w:fill="0A1C32"/>
          </w:tcPr>
          <w:p>
            <w:r/>
            <w:r>
              <w:rPr>
                <w:b/>
                <w:color w:val="FFFFFF"/>
                <w:sz w:val="18"/>
              </w:rPr>
              <w:t>Résultat attendu</w:t>
            </w:r>
          </w:p>
        </w:tc>
      </w:tr>
      <w:tr>
        <w:tc>
          <w:tcPr>
            <w:tcW w:type="dxa" w:w="3360"/>
            <w:vAlign w:val="top"/>
          </w:tcPr>
          <w:p>
            <w:r>
              <w:t>Semaine 1</w:t>
            </w:r>
          </w:p>
        </w:tc>
        <w:tc>
          <w:tcPr>
            <w:tcW w:type="dxa" w:w="3360"/>
            <w:vAlign w:val="top"/>
          </w:tcPr>
          <w:p>
            <w:r>
              <w:t>Stabiliser UI</w:t>
            </w:r>
          </w:p>
        </w:tc>
        <w:tc>
          <w:tcPr>
            <w:tcW w:type="dxa" w:w="3360"/>
            <w:vAlign w:val="top"/>
          </w:tcPr>
          <w:p>
            <w:r>
              <w:t>Bureau + dashboard sans conflit, pages fiables.</w:t>
            </w:r>
          </w:p>
        </w:tc>
      </w:tr>
      <w:tr>
        <w:tc>
          <w:tcPr>
            <w:tcW w:type="dxa" w:w="3360"/>
            <w:vAlign w:val="top"/>
          </w:tcPr>
          <w:p>
            <w:r>
              <w:t>Semaines 2–3</w:t>
            </w:r>
          </w:p>
        </w:tc>
        <w:tc>
          <w:tcPr>
            <w:tcW w:type="dxa" w:w="3360"/>
            <w:vAlign w:val="top"/>
          </w:tcPr>
          <w:p>
            <w:r>
              <w:t>Équilibrage gameplay</w:t>
            </w:r>
          </w:p>
        </w:tc>
        <w:tc>
          <w:tcPr>
            <w:tcW w:type="dxa" w:w="3360"/>
            <w:vAlign w:val="top"/>
          </w:tcPr>
          <w:p>
            <w:r>
              <w:t>Budget énergie, actions utiles, premières conséquences fortes.</w:t>
            </w:r>
          </w:p>
        </w:tc>
      </w:tr>
      <w:tr>
        <w:tc>
          <w:tcPr>
            <w:tcW w:type="dxa" w:w="3360"/>
            <w:vAlign w:val="top"/>
          </w:tcPr>
          <w:p>
            <w:r>
              <w:t>Mois 2</w:t>
            </w:r>
          </w:p>
        </w:tc>
        <w:tc>
          <w:tcPr>
            <w:tcW w:type="dxa" w:w="3360"/>
            <w:vAlign w:val="top"/>
          </w:tcPr>
          <w:p>
            <w:r>
              <w:t>Données financières</w:t>
            </w:r>
          </w:p>
        </w:tc>
        <w:tc>
          <w:tcPr>
            <w:tcW w:type="dxa" w:w="3360"/>
            <w:vAlign w:val="top"/>
          </w:tcPr>
          <w:p>
            <w:r>
              <w:t>Assets, immobilier, inflation, news corrélées.</w:t>
            </w:r>
          </w:p>
        </w:tc>
      </w:tr>
      <w:tr>
        <w:tc>
          <w:tcPr>
            <w:tcW w:type="dxa" w:w="3360"/>
            <w:vAlign w:val="top"/>
          </w:tcPr>
          <w:p>
            <w:r>
              <w:t>Mois 3</w:t>
            </w:r>
          </w:p>
        </w:tc>
        <w:tc>
          <w:tcPr>
            <w:tcW w:type="dxa" w:w="3360"/>
            <w:vAlign w:val="top"/>
          </w:tcPr>
          <w:p>
            <w:r>
              <w:t>Démo verticale</w:t>
            </w:r>
          </w:p>
        </w:tc>
        <w:tc>
          <w:tcPr>
            <w:tcW w:type="dxa" w:w="3360"/>
            <w:vAlign w:val="top"/>
          </w:tcPr>
          <w:p>
            <w:r>
              <w:t>Run de 5 ans jouable avec bilan partageable.</w:t>
            </w:r>
          </w:p>
        </w:tc>
      </w:tr>
      <w:tr>
        <w:tc>
          <w:tcPr>
            <w:tcW w:type="dxa" w:w="3360"/>
            <w:vAlign w:val="top"/>
          </w:tcPr>
          <w:p>
            <w:r>
              <w:t>Mois 4+</w:t>
            </w:r>
          </w:p>
        </w:tc>
        <w:tc>
          <w:tcPr>
            <w:tcW w:type="dxa" w:w="3360"/>
            <w:vAlign w:val="top"/>
          </w:tcPr>
          <w:p>
            <w:r>
              <w:t>Playtests</w:t>
            </w:r>
          </w:p>
        </w:tc>
        <w:tc>
          <w:tcPr>
            <w:tcW w:type="dxa" w:w="3360"/>
            <w:vAlign w:val="top"/>
          </w:tcPr>
          <w:p>
            <w:r>
              <w:t>Mesure rétention, compréhension, intérêt streamer.</w:t>
            </w:r>
          </w:p>
        </w:tc>
      </w:tr>
    </w:tbl>
    <w:p/>
    <w:p>
      <w:pPr>
        <w:pStyle w:val="Heading1"/>
      </w:pPr>
      <w:r>
        <w:t>Modèle économique</w:t>
      </w:r>
    </w:p>
    <w:p>
      <w:pPr>
        <w:pStyle w:val="ListBullet"/>
      </w:pPr>
      <w:r>
        <w:t>Modèle recommandé : premium PC, achat unique, pas de microtransactions au lancement.</w:t>
      </w:r>
    </w:p>
    <w:p>
      <w:pPr>
        <w:pStyle w:val="ListBullet"/>
      </w:pPr>
      <w:r>
        <w:t>Extensions possibles : villes, pays, crises, carrières, scénarios historiques ou futurs.</w:t>
      </w:r>
    </w:p>
    <w:p>
      <w:pPr>
        <w:pStyle w:val="ListBullet"/>
      </w:pPr>
      <w:r>
        <w:t>Option B2B : version atelier/école pour sensibilisation finance et arbitrages de vie.</w:t>
      </w:r>
    </w:p>
    <w:p>
      <w:pPr>
        <w:pStyle w:val="ListBullet"/>
      </w:pPr>
      <w:r>
        <w:t>Monétisation communautaire : démo gratuite limitée + version complète.</w:t>
      </w:r>
    </w:p>
    <w:p>
      <w:pPr>
        <w:pStyle w:val="Heading1"/>
      </w:pPr>
      <w:r>
        <w:t>Risques et réponses</w:t>
      </w:r>
    </w:p>
    <w:tbl>
      <w:tblPr>
        <w:tblStyle w:val="TableGrid"/>
        <w:tblW w:type="auto" w:w="0"/>
        <w:jc w:val="center"/>
        <w:tblLook w:firstColumn="1" w:firstRow="1" w:lastColumn="0" w:lastRow="0" w:noHBand="0" w:noVBand="1" w:val="04A0"/>
      </w:tblPr>
      <w:tblGrid>
        <w:gridCol w:w="5040"/>
        <w:gridCol w:w="5040"/>
      </w:tblGrid>
      <w:tr>
        <w:tc>
          <w:tcPr>
            <w:tcW w:type="dxa" w:w="5040"/>
            <w:shd w:fill="0A1C32"/>
          </w:tcPr>
          <w:p>
            <w:r/>
            <w:r>
              <w:rPr>
                <w:b/>
                <w:color w:val="FFFFFF"/>
                <w:sz w:val="18"/>
              </w:rPr>
              <w:t>Risque</w:t>
            </w:r>
          </w:p>
        </w:tc>
        <w:tc>
          <w:tcPr>
            <w:tcW w:type="dxa" w:w="5040"/>
            <w:shd w:fill="0A1C32"/>
          </w:tcPr>
          <w:p>
            <w:r/>
            <w:r>
              <w:rPr>
                <w:b/>
                <w:color w:val="FFFFFF"/>
                <w:sz w:val="18"/>
              </w:rPr>
              <w:t>Réponse</w:t>
            </w:r>
          </w:p>
        </w:tc>
      </w:tr>
      <w:tr>
        <w:tc>
          <w:tcPr>
            <w:tcW w:type="dxa" w:w="5040"/>
            <w:vAlign w:val="top"/>
          </w:tcPr>
          <w:p>
            <w:r>
              <w:t>Trop complexe</w:t>
            </w:r>
          </w:p>
        </w:tc>
        <w:tc>
          <w:tcPr>
            <w:tcW w:type="dxa" w:w="5040"/>
            <w:vAlign w:val="top"/>
          </w:tcPr>
          <w:p>
            <w:r>
              <w:t>Commencer par une démo 5 ans avec peu d’actions mais fortes conséquences.</w:t>
            </w:r>
          </w:p>
        </w:tc>
      </w:tr>
      <w:tr>
        <w:tc>
          <w:tcPr>
            <w:tcW w:type="dxa" w:w="5040"/>
            <w:vAlign w:val="top"/>
          </w:tcPr>
          <w:p>
            <w:r>
              <w:t>Trop scolaire</w:t>
            </w:r>
          </w:p>
        </w:tc>
        <w:tc>
          <w:tcPr>
            <w:tcW w:type="dxa" w:w="5040"/>
            <w:vAlign w:val="top"/>
          </w:tcPr>
          <w:p>
            <w:r>
              <w:t>Ton narratif, événements cruels, UI immersive, humour maîtrisé.</w:t>
            </w:r>
          </w:p>
        </w:tc>
      </w:tr>
      <w:tr>
        <w:tc>
          <w:tcPr>
            <w:tcW w:type="dxa" w:w="5040"/>
            <w:vAlign w:val="top"/>
          </w:tcPr>
          <w:p>
            <w:r>
              <w:t>UI instable</w:t>
            </w:r>
          </w:p>
        </w:tc>
        <w:tc>
          <w:tcPr>
            <w:tcW w:type="dxa" w:w="5040"/>
            <w:vAlign w:val="top"/>
          </w:tcPr>
          <w:p>
            <w:r>
              <w:t>Nettoyer les builders et figer une scène de référence.</w:t>
            </w:r>
          </w:p>
        </w:tc>
      </w:tr>
      <w:tr>
        <w:tc>
          <w:tcPr>
            <w:tcW w:type="dxa" w:w="5040"/>
            <w:vAlign w:val="top"/>
          </w:tcPr>
          <w:p>
            <w:r>
              <w:t>Data trop lourde</w:t>
            </w:r>
          </w:p>
        </w:tc>
        <w:tc>
          <w:tcPr>
            <w:tcW w:type="dxa" w:w="5040"/>
            <w:vAlign w:val="top"/>
          </w:tcPr>
          <w:p>
            <w:r>
              <w:t>Commencer par quelques actifs et villes, puis étendre.</w:t>
            </w:r>
          </w:p>
        </w:tc>
      </w:tr>
    </w:tbl>
    <w:p/>
    <w:p>
      <w:pPr>
        <w:pStyle w:val="Heading1"/>
      </w:pPr>
      <w:r>
        <w:t>Conclusion</w:t>
      </w:r>
    </w:p>
    <w:p>
      <w:r>
        <w:rPr>
          <w:b w:val="0"/>
        </w:rPr>
        <w:t>La Villa ou la Banqueroute a le potentiel de devenir un jeu de gestion personnel immédiatement compréhensible : tout le monde connaît le travail, l’argent, les dettes, la fatigue, la famille et les regrets. La force du projet est de transformer ces réalités en systèmes jouables, lisibles et partageables.</w:t>
      </w:r>
    </w:p>
    <w:p>
      <w:pPr>
        <w:pStyle w:val="Heading1"/>
      </w:pPr>
      <w:r>
        <w:t>Sources externes utilisées</w:t>
      </w:r>
    </w:p>
    <w:p>
      <w:pPr>
        <w:pStyle w:val="ListBullet"/>
      </w:pPr>
      <w:r>
        <w:t>Reuters / Newzoo : estimation du marché mondial du jeu vidéo 2025.</w:t>
      </w:r>
    </w:p>
    <w:p>
      <w:pPr>
        <w:pStyle w:val="ListBullet"/>
      </w:pPr>
      <w:r>
        <w:t>Le Monde / SELL : marché français 2024 et dynamique PC/mobile.</w:t>
      </w:r>
    </w:p>
    <w:p>
      <w:pPr>
        <w:pStyle w:val="ListBullet"/>
      </w:pPr>
      <w:r>
        <w:t>Analyse interne : éléments issus du prototype Unity et du GDD du projet.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1C3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AAD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452A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A1C3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