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Q3 2026 Regional Sales Close Memo</w:t>
      </w:r>
    </w:p>
    <w:p>
      <w:r>
        <w:t xml:space="preserve">To: Finance Leadership Team | Date: 2026-10-06 | Subject: Q3 regional recognized sales close</w:t>
      </w:r>
    </w:p>
    <w:p>
      <w:pPr>
        <w:pStyle w:val="Heading1"/>
      </w:pPr>
      <w:r>
        <w:t xml:space="preserve">Executive summary</w:t>
      </w:r>
    </w:p>
    <w:p>
      <w:r>
        <w:t xml:space="preserve">Northstar Supply closed Q3 with USD 10,970.00 in net recognized sales from 17 fulfilled, in-period USD orders. North delivered the largest regional net result at USD 3,340.00. Open adjustments remain a close risk and are disclosed below rather than being presented as posted activity.</w:t>
      </w:r>
    </w:p>
    <w:p>
      <w:pPr>
        <w:pStyle w:val="Heading1"/>
      </w:pPr>
      <w:r>
        <w:t xml:space="preserve">Method and sources</w:t>
      </w:r>
    </w:p>
    <w:p>
      <w:r>
        <w:t xml:space="preserve">We applied policy REV-CLOSE-2026-Q3 to orders_q3.csv and returns_and_adjustments.csv. Only fulfilled USD orders booked from 2026-07-01 through 2026-09-30 entered gross recognized sales. A refund reduced the close only when it belonged to a recognized order, was settled by the 2026-10-05 UTC cutoff, and was not superseded or reversed. Counts and amounts were recomputed from the final eligible event set before preparing this memo.</w:t>
      </w:r>
    </w:p>
    <w:p>
      <w:pPr>
        <w:pStyle w:val="Heading1"/>
      </w:pPr>
      <w:r>
        <w:t xml:space="preserve">Regional reconciliation</w:t>
      </w:r>
    </w:p>
    <w:tbl>
      <w:tblPr>
        <w:tblStyle w:val="TableGrid"/>
        <w:tblW w:w="0" w:type="auto"/>
      </w:tblPr>
      <w:tr>
        <w:tc>
          <w:tcPr>
            <w:tcW w:w="1800" w:type="dxa"/>
          </w:tcPr>
          <w:p>
            <w:r>
              <w:rPr>
                <w:b/>
              </w:rPr>
              <w:t xml:space="preserve">Region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Recognized orders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Gross recognized sales (USD)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Deducted refunds (USD)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Net recognized sales (USD)</w:t>
            </w:r>
          </w:p>
        </w:tc>
      </w:tr>
      <w:tr>
        <w:tc>
          <w:tcPr>
            <w:tcW w:w="1800" w:type="dxa"/>
          </w:tcPr>
          <w:p>
            <w:r>
              <w:t xml:space="preserve">North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3,620.00</w:t>
            </w:r>
          </w:p>
        </w:tc>
        <w:tc>
          <w:tcPr>
            <w:tcW w:w="1800" w:type="dxa"/>
          </w:tcPr>
          <w:p>
            <w:r>
              <w:t xml:space="preserve">280.00</w:t>
            </w:r>
          </w:p>
        </w:tc>
        <w:tc>
          <w:tcPr>
            <w:tcW w:w="1800" w:type="dxa"/>
          </w:tcPr>
          <w:p>
            <w:r>
              <w:t xml:space="preserve">3,340.00</w:t>
            </w:r>
          </w:p>
        </w:tc>
      </w:tr>
      <w:tr>
        <w:tc>
          <w:tcPr>
            <w:tcW w:w="1800" w:type="dxa"/>
          </w:tcPr>
          <w:p>
            <w:r>
              <w:t xml:space="preserve">South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3,050.00</w:t>
            </w:r>
          </w:p>
        </w:tc>
        <w:tc>
          <w:tcPr>
            <w:tcW w:w="1800" w:type="dxa"/>
          </w:tcPr>
          <w:p>
            <w:r>
              <w:t xml:space="preserve">250.00</w:t>
            </w:r>
          </w:p>
        </w:tc>
        <w:tc>
          <w:tcPr>
            <w:tcW w:w="1800" w:type="dxa"/>
          </w:tcPr>
          <w:p>
            <w:r>
              <w:t xml:space="preserve">2,800.00</w:t>
            </w:r>
          </w:p>
        </w:tc>
      </w:tr>
      <w:tr>
        <w:tc>
          <w:tcPr>
            <w:tcW w:w="1800" w:type="dxa"/>
          </w:tcPr>
          <w:p>
            <w:r>
              <w:t xml:space="preserve">East</w:t>
            </w:r>
          </w:p>
        </w:tc>
        <w:tc>
          <w:tcPr>
            <w:tcW w:w="1800" w:type="dxa"/>
          </w:tcPr>
          <w:p>
            <w:r>
              <w:t xml:space="preserve">5</w:t>
            </w:r>
          </w:p>
        </w:tc>
        <w:tc>
          <w:tcPr>
            <w:tcW w:w="1800" w:type="dxa"/>
          </w:tcPr>
          <w:p>
            <w:r>
              <w:t xml:space="preserve">3,325.00</w:t>
            </w:r>
          </w:p>
        </w:tc>
        <w:tc>
          <w:tcPr>
            <w:tcW w:w="1800" w:type="dxa"/>
          </w:tcPr>
          <w:p>
            <w:r>
              <w:t xml:space="preserve">675.00</w:t>
            </w:r>
          </w:p>
        </w:tc>
        <w:tc>
          <w:tcPr>
            <w:tcW w:w="1800" w:type="dxa"/>
          </w:tcPr>
          <w:p>
            <w:r>
              <w:t xml:space="preserve">2,650.00</w:t>
            </w:r>
          </w:p>
        </w:tc>
      </w:tr>
      <w:tr>
        <w:tc>
          <w:tcPr>
            <w:tcW w:w="1800" w:type="dxa"/>
          </w:tcPr>
          <w:p>
            <w:r>
              <w:t xml:space="preserve">West</w:t>
            </w:r>
          </w:p>
        </w:tc>
        <w:tc>
          <w:tcPr>
            <w:tcW w:w="1800" w:type="dxa"/>
          </w:tcPr>
          <w:p>
            <w:r>
              <w:t xml:space="preserve">4</w:t>
            </w:r>
          </w:p>
        </w:tc>
        <w:tc>
          <w:tcPr>
            <w:tcW w:w="1800" w:type="dxa"/>
          </w:tcPr>
          <w:p>
            <w:r>
              <w:t xml:space="preserve">3,060.00</w:t>
            </w:r>
          </w:p>
        </w:tc>
        <w:tc>
          <w:tcPr>
            <w:tcW w:w="1800" w:type="dxa"/>
          </w:tcPr>
          <w:p>
            <w:r>
              <w:t xml:space="preserve">880.00</w:t>
            </w:r>
          </w:p>
        </w:tc>
        <w:tc>
          <w:tcPr>
            <w:tcW w:w="1800" w:type="dxa"/>
          </w:tcPr>
          <w:p>
            <w:r>
              <w:t xml:space="preserve">2,180.00</w:t>
            </w:r>
          </w:p>
        </w:tc>
      </w:tr>
    </w:tbl>
    <w:p>
      <w:r>
        <w:t xml:space="preserve">Company reconciliation — Gross recognized sales USD 13,055.00 less deducted refunds USD 2,085.00 equals net recognized sales USD 10,970.00. The four regional rows and regional_rollup.csv reconcile to these company figures.</w:t>
      </w:r>
    </w:p>
    <w:p>
      <w:pPr>
        <w:pStyle w:val="Heading1"/>
      </w:pPr>
      <w:r>
        <w:t xml:space="preserve">Adjustment exceptions</w:t>
      </w:r>
    </w:p>
    <w:p>
      <w:r>
        <w:t xml:space="preserve">Adjustment ADJ-N2 for order N-1004 is a USD 100.00 refund that is approved but unsettled; it remains an open adjustment and is not part of Q3 deductions.</w:t>
      </w:r>
    </w:p>
    <w:p>
      <w:r>
        <w:t xml:space="preserve">Adjustment ADJ-S2 for order S-2002 is a USD 100.00 refund settled on 2026-10-06, after cutoff. It is a late subsequent event and is not deducted from Q3.</w:t>
      </w:r>
    </w:p>
    <w:p>
      <w:r>
        <w:t xml:space="preserve">For order S-2003, adjustment ADJ-S3 has a USD 50.00 refund history ending with ADJ-S4 in reversed state. ADJ-S4 superseded ADJ-S3, so the refund is not deducted.</w:t>
      </w:r>
    </w:p>
    <w:p>
      <w:r>
        <w:t xml:space="preserve">Adjustment ADJ-E2 for order E-3004 is a USD 100.00 refund, but the underlying order is pending and therefore not recognized; the adjustment remains unapplied to recognized sales.</w:t>
      </w:r>
    </w:p>
    <w:p>
      <w:r>
        <w:t xml:space="preserve">Adjustment ADJ-W2 for order W-4002 is a USD 120.00 refund that is approved but not settled. It is an open item rather than a Q3 deduction.</w:t>
      </w:r>
    </w:p>
    <w:p>
      <w:r>
        <w:t xml:space="preserve">For order N-1006, replacement event ADJ-N4 superseded ADJ-N3. The USD 80.00 settled refund was counted once, preventing a duplicate deduction.</w:t>
      </w:r>
    </w:p>
    <w:p>
      <w:pPr>
        <w:pStyle w:val="Heading1"/>
      </w:pPr>
      <w:r>
        <w:t xml:space="preserve">Conclusion and recommendation</w:t>
      </w:r>
    </w:p>
    <w:p>
      <w:r>
        <w:t xml:space="preserve">The close is internally reconciled at USD 10,970.00 net recognized sales, with North the largest contributor. Finance should monitor the approved North and West refunds and the post-cutoff South settlement in the next close; none of those open or late items is represented here as already posted.</w:t>
      </w:r>
    </w:p>
    <w:sectPr>
      <w:headerReference w:type="default" r:id="rId2"/>
      <w:footerReference w:type="default" r:id="rId3"/>
      <w:pgSz w:w="12240" w:h="15840"/>
      <w:pgMar w:top="1080" w:right="1080" w:bottom="1080" w:left="1080"/>
    </w:sectPr>
  </w:body>
</w:document>
</file>

<file path=word/footer1.xml><?xml version="1.0" encoding="utf-8"?>
<w:ftr xmlns:w="http://schemas.openxmlformats.org/wordprocessingml/2006/main">
  <w:p>
    <w:r>
      <w:t xml:space="preserve">Confidential — Internal Use Only</w:t>
    </w:r>
  </w:p>
</w:ftr>
</file>

<file path=word/header1.xml><?xml version="1.0" encoding="utf-8"?>
<w:hdr xmlns:w="http://schemas.openxmlformats.org/wordprocessingml/2006/main">
  <w:p>
    <w:r>
      <w:rPr>
        <w:b/>
      </w:rPr>
      <w:t xml:space="preserve">Northstar Supply | Revenue Operations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6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Northstar Office</Application>
</Properties>
</file>

<file path=docProps/core.xml><?xml version="1.0" encoding="utf-8"?>
<cp:coreProperties xmlns:cp="http://schemas.openxmlformats.org/package/2006/metadata/core-properties" xmlns:dc="http://purl.org/dc/elements/1.1/">
  <dc:title>Q3 2026 regional sales close memo</dc:title>
  <dc:creator>Northstar Supply</dc:creator>
</cp:coreProperties>
</file>