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新桥市综合管廊监控升级项目施工实施方案</w:t>
      </w:r>
    </w:p>
    <w:p>
      <w:pPr>
        <w:jc w:val="center"/>
      </w:pPr>
      <w:r>
        <w:t>招标编号：XQ-GGL-2026-017</w:t>
      </w:r>
    </w:p>
    <w:p>
      <w:pPr>
        <w:jc w:val="center"/>
      </w:pPr>
      <w:r>
        <w:t>投标人：澄岳工程技术有限公司（虚构）</w:t>
      </w:r>
    </w:p>
    <w:p>
      <w:r>
        <w:br w:type="page"/>
      </w:r>
    </w:p>
    <w:p>
      <w:pPr>
        <w:pStyle w:val="Heading1"/>
      </w:pPr>
      <w:r>
        <w:t>1 项目理解</w:t>
      </w:r>
    </w:p>
    <w:p>
      <w:pPr>
        <w:pStyle w:val="Heading2"/>
      </w:pPr>
      <w:r>
        <w:t>1.1 项目事实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材料事实</w:t>
            </w:r>
          </w:p>
        </w:tc>
      </w:tr>
      <w:tr>
        <w:tc>
          <w:tcPr>
            <w:tcW w:w="2400" w:type="dxa"/>
          </w:tcPr>
          <w:p>
            <w:r>
              <w:t>项目名称</w:t>
            </w:r>
          </w:p>
        </w:tc>
        <w:tc>
          <w:tcPr>
            <w:tcW w:w="2400" w:type="dxa"/>
          </w:tcPr>
          <w:p>
            <w:r>
              <w:t>新桥市综合管廊监控升级项目</w:t>
            </w:r>
          </w:p>
        </w:tc>
      </w:tr>
      <w:tr>
        <w:tc>
          <w:tcPr>
            <w:tcW w:w="2400" w:type="dxa"/>
          </w:tcPr>
          <w:p>
            <w:r>
              <w:t>招标编号</w:t>
            </w:r>
          </w:p>
        </w:tc>
        <w:tc>
          <w:tcPr>
            <w:tcW w:w="2400" w:type="dxa"/>
          </w:tcPr>
          <w:p>
            <w:r>
              <w:t>XQ-GGL-2026-017</w:t>
            </w:r>
          </w:p>
        </w:tc>
      </w:tr>
      <w:tr>
        <w:tc>
          <w:tcPr>
            <w:tcW w:w="2400" w:type="dxa"/>
          </w:tcPr>
          <w:p>
            <w:r>
              <w:t>招标人</w:t>
            </w:r>
          </w:p>
        </w:tc>
        <w:tc>
          <w:tcPr>
            <w:tcW w:w="2400" w:type="dxa"/>
          </w:tcPr>
          <w:p>
            <w:r>
              <w:t>新桥市城市设施服务中心</w:t>
            </w:r>
          </w:p>
        </w:tc>
      </w:tr>
      <w:tr>
        <w:tc>
          <w:tcPr>
            <w:tcW w:w="2400" w:type="dxa"/>
          </w:tcPr>
          <w:p>
            <w:r>
              <w:t>实施地点</w:t>
            </w:r>
          </w:p>
        </w:tc>
        <w:tc>
          <w:tcPr>
            <w:tcW w:w="2400" w:type="dxa"/>
          </w:tcPr>
          <w:p>
            <w:r>
              <w:t>新桥市东港片区</w:t>
            </w:r>
          </w:p>
        </w:tc>
      </w:tr>
      <w:tr>
        <w:tc>
          <w:tcPr>
            <w:tcW w:w="2400" w:type="dxa"/>
          </w:tcPr>
          <w:p>
            <w:r>
              <w:t>计划工期</w:t>
            </w:r>
          </w:p>
        </w:tc>
        <w:tc>
          <w:tcPr>
            <w:tcW w:w="2400" w:type="dxa"/>
          </w:tcPr>
          <w:p>
            <w:r>
              <w:t>120日历天</w:t>
            </w:r>
          </w:p>
        </w:tc>
      </w:tr>
      <w:tr>
        <w:tc>
          <w:tcPr>
            <w:tcW w:w="2400" w:type="dxa"/>
          </w:tcPr>
          <w:p>
            <w:r>
              <w:t>质量目标</w:t>
            </w:r>
          </w:p>
        </w:tc>
        <w:tc>
          <w:tcPr>
            <w:tcW w:w="2400" w:type="dxa"/>
          </w:tcPr>
          <w:p>
            <w:r>
              <w:t>一次验收合格</w:t>
            </w:r>
          </w:p>
        </w:tc>
      </w:tr>
      <w:tr>
        <w:tc>
          <w:tcPr>
            <w:tcW w:w="2400" w:type="dxa"/>
          </w:tcPr>
          <w:p>
            <w:r>
              <w:t>安全目标</w:t>
            </w:r>
          </w:p>
        </w:tc>
        <w:tc>
          <w:tcPr>
            <w:tcW w:w="2400" w:type="dxa"/>
          </w:tcPr>
          <w:p>
            <w:r>
              <w:t>零较大及以上安全事故</w:t>
            </w:r>
          </w:p>
        </w:tc>
      </w:tr>
      <w:tr>
        <w:tc>
          <w:tcPr>
            <w:tcW w:w="2400" w:type="dxa"/>
          </w:tcPr>
          <w:p>
            <w:r>
              <w:t>质保期</w:t>
            </w:r>
          </w:p>
        </w:tc>
        <w:tc>
          <w:tcPr>
            <w:tcW w:w="2400" w:type="dxa"/>
          </w:tcPr>
          <w:p>
            <w:r>
              <w:t>24个月</w:t>
            </w:r>
          </w:p>
        </w:tc>
      </w:tr>
    </w:tbl>
    <w:p>
      <w:r>
        <w:t>本方案覆盖供货、安装、联调、试运行、验收、资料归档和培训，关键设备安装不得分包。</w:t>
      </w:r>
    </w:p>
    <w:p>
      <w:pPr>
        <w:pStyle w:val="Heading2"/>
      </w:pPr>
      <w:r>
        <w:t>1.2 设备范围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设备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数量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工作范围</w:t>
            </w:r>
          </w:p>
        </w:tc>
      </w:tr>
      <w:tr>
        <w:tc>
          <w:tcPr>
            <w:tcW w:w="2400" w:type="dxa"/>
          </w:tcPr>
          <w:p>
            <w:r>
              <w:t>环境传感器</w:t>
            </w:r>
          </w:p>
        </w:tc>
        <w:tc>
          <w:tcPr>
            <w:tcW w:w="2400" w:type="dxa"/>
          </w:tcPr>
          <w:p>
            <w:r>
              <w:t>48套</w:t>
            </w:r>
          </w:p>
        </w:tc>
        <w:tc>
          <w:tcPr>
            <w:tcW w:w="2400" w:type="dxa"/>
          </w:tcPr>
          <w:p>
            <w:r>
              <w:t>供货、安装、联调</w:t>
            </w:r>
          </w:p>
        </w:tc>
      </w:tr>
      <w:tr>
        <w:tc>
          <w:tcPr>
            <w:tcW w:w="2400" w:type="dxa"/>
          </w:tcPr>
          <w:p>
            <w:r>
              <w:t>边缘采集柜</w:t>
            </w:r>
          </w:p>
        </w:tc>
        <w:tc>
          <w:tcPr>
            <w:tcW w:w="2400" w:type="dxa"/>
          </w:tcPr>
          <w:p>
            <w:r>
              <w:t>12台</w:t>
            </w:r>
          </w:p>
        </w:tc>
        <w:tc>
          <w:tcPr>
            <w:tcW w:w="2400" w:type="dxa"/>
          </w:tcPr>
          <w:p>
            <w:r>
              <w:t>供货、安装、联调</w:t>
            </w:r>
          </w:p>
        </w:tc>
      </w:tr>
      <w:tr>
        <w:tc>
          <w:tcPr>
            <w:tcW w:w="2400" w:type="dxa"/>
          </w:tcPr>
          <w:p>
            <w:r>
              <w:t>高清摄像机</w:t>
            </w:r>
          </w:p>
        </w:tc>
        <w:tc>
          <w:tcPr>
            <w:tcW w:w="2400" w:type="dxa"/>
          </w:tcPr>
          <w:p>
            <w:r>
              <w:t>36台</w:t>
            </w:r>
          </w:p>
        </w:tc>
        <w:tc>
          <w:tcPr>
            <w:tcW w:w="2400" w:type="dxa"/>
          </w:tcPr>
          <w:p>
            <w:r>
              <w:t>供货、安装、联调</w:t>
            </w:r>
          </w:p>
        </w:tc>
      </w:tr>
      <w:tr>
        <w:tc>
          <w:tcPr>
            <w:tcW w:w="2400" w:type="dxa"/>
          </w:tcPr>
          <w:p>
            <w:r>
              <w:t>通信网关</w:t>
            </w:r>
          </w:p>
        </w:tc>
        <w:tc>
          <w:tcPr>
            <w:tcW w:w="2400" w:type="dxa"/>
          </w:tcPr>
          <w:p>
            <w:r>
              <w:t>6台</w:t>
            </w:r>
          </w:p>
        </w:tc>
        <w:tc>
          <w:tcPr>
            <w:tcW w:w="2400" w:type="dxa"/>
          </w:tcPr>
          <w:p>
            <w:r>
              <w:t>供货、安装、联调</w:t>
            </w:r>
          </w:p>
        </w:tc>
      </w:tr>
    </w:tbl>
    <w:p>
      <w:pPr>
        <w:pStyle w:val="Heading1"/>
      </w:pPr>
      <w:r>
        <w:t>2 施工部署与组织</w:t>
      </w:r>
    </w:p>
    <w:p>
      <w:r>
        <w:t>采用项目经理负责制，技术、质量和安全职责相互校核；公司可投入3个安装班组、4名调试工程师和6套测试仪器。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岗位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姓名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合成资格信息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年限</w:t>
            </w:r>
          </w:p>
        </w:tc>
      </w:tr>
      <w:tr>
        <w:tc>
          <w:tcPr>
            <w:tcW w:w="2400" w:type="dxa"/>
          </w:tcPr>
          <w:p>
            <w:r>
              <w:t>项目经理</w:t>
            </w:r>
          </w:p>
        </w:tc>
        <w:tc>
          <w:tcPr>
            <w:tcW w:w="2400" w:type="dxa"/>
          </w:tcPr>
          <w:p>
            <w:r>
              <w:t>林致远</w:t>
            </w:r>
          </w:p>
        </w:tc>
        <w:tc>
          <w:tcPr>
            <w:tcW w:w="2400" w:type="dxa"/>
          </w:tcPr>
          <w:p>
            <w:r>
              <w:t>合成注册证 XQ-JZ-0418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技术负责人</w:t>
            </w:r>
          </w:p>
        </w:tc>
        <w:tc>
          <w:tcPr>
            <w:tcW w:w="2400" w:type="dxa"/>
          </w:tcPr>
          <w:p>
            <w:r>
              <w:t>何沐言</w:t>
            </w:r>
          </w:p>
        </w:tc>
        <w:tc>
          <w:tcPr>
            <w:tcW w:w="2400" w:type="dxa"/>
          </w:tcPr>
          <w:p>
            <w:r>
              <w:t>合成高级工程师证 XQ-GJ-1120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安全负责人</w:t>
            </w:r>
          </w:p>
        </w:tc>
        <w:tc>
          <w:tcPr>
            <w:tcW w:w="2400" w:type="dxa"/>
          </w:tcPr>
          <w:p>
            <w:r>
              <w:t>周芮</w:t>
            </w:r>
          </w:p>
        </w:tc>
        <w:tc>
          <w:tcPr>
            <w:tcW w:w="2400" w:type="dxa"/>
          </w:tcPr>
          <w:p>
            <w:r>
              <w:t>合成安全证 XQ-AQ-0731</w:t>
            </w:r>
          </w:p>
        </w:tc>
        <w:tc>
          <w:tcPr>
            <w:tcW w:w="2400" w:type="dxa"/>
          </w:tcPr>
          <w:p>
            <w:r>
              <w:t>7</w:t>
            </w:r>
          </w:p>
        </w:tc>
      </w:tr>
    </w:tbl>
    <w:p>
      <w:pPr>
        <w:pStyle w:val="Heading1"/>
      </w:pPr>
      <w:r>
        <w:t>3 施工方法</w:t>
      </w:r>
    </w:p>
    <w:p>
      <w:pPr>
        <w:pStyle w:val="Heading2"/>
      </w:pPr>
      <w:r>
        <w:t>3.1 现场复核与深化设计</w:t>
      </w:r>
    </w:p>
    <w:p>
      <w:r>
        <w:t>逐点核对位置、供电、网络和安装条件，形成点位确认记录后再实施。</w:t>
      </w:r>
    </w:p>
    <w:p>
      <w:pPr>
        <w:pStyle w:val="Heading2"/>
      </w:pPr>
      <w:r>
        <w:t>3.2 安装与联调</w:t>
      </w:r>
    </w:p>
    <w:p>
      <w:r>
        <w:t>设备进场先核验数量和外观；安装后分别完成单机测试、点位连通测试和告警联动测试。</w:t>
      </w:r>
    </w:p>
    <w:p>
      <w:pPr>
        <w:pStyle w:val="Heading1"/>
      </w:pPr>
      <w:r>
        <w:t>4 进度计划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阶段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时间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交付检查点</w:t>
            </w:r>
          </w:p>
        </w:tc>
      </w:tr>
      <w:tr>
        <w:tc>
          <w:tcPr>
            <w:tcW w:w="2400" w:type="dxa"/>
          </w:tcPr>
          <w:p>
            <w:r>
              <w:t>进场准备</w:t>
            </w:r>
          </w:p>
        </w:tc>
        <w:tc>
          <w:tcPr>
            <w:tcW w:w="2400" w:type="dxa"/>
          </w:tcPr>
          <w:p>
            <w:r>
              <w:t>第1—10天</w:t>
            </w:r>
          </w:p>
        </w:tc>
        <w:tc>
          <w:tcPr>
            <w:tcW w:w="2400" w:type="dxa"/>
          </w:tcPr>
          <w:p>
            <w:r>
              <w:t>人员、工具和安全交底完成</w:t>
            </w:r>
          </w:p>
        </w:tc>
      </w:tr>
      <w:tr>
        <w:tc>
          <w:tcPr>
            <w:tcW w:w="2400" w:type="dxa"/>
          </w:tcPr>
          <w:p>
            <w:r>
              <w:t>深化设计与现场复核</w:t>
            </w:r>
          </w:p>
        </w:tc>
        <w:tc>
          <w:tcPr>
            <w:tcW w:w="2400" w:type="dxa"/>
          </w:tcPr>
          <w:p>
            <w:r>
              <w:t>第11—25天</w:t>
            </w:r>
          </w:p>
        </w:tc>
        <w:tc>
          <w:tcPr>
            <w:tcW w:w="2400" w:type="dxa"/>
          </w:tcPr>
          <w:p>
            <w:r>
              <w:t>点位与施工条件确认</w:t>
            </w:r>
          </w:p>
        </w:tc>
      </w:tr>
      <w:tr>
        <w:tc>
          <w:tcPr>
            <w:tcW w:w="2400" w:type="dxa"/>
          </w:tcPr>
          <w:p>
            <w:r>
              <w:t>设备采购与进场检验</w:t>
            </w:r>
          </w:p>
        </w:tc>
        <w:tc>
          <w:tcPr>
            <w:tcW w:w="2400" w:type="dxa"/>
          </w:tcPr>
          <w:p>
            <w:r>
              <w:t>第26—55天</w:t>
            </w:r>
          </w:p>
        </w:tc>
        <w:tc>
          <w:tcPr>
            <w:tcW w:w="2400" w:type="dxa"/>
          </w:tcPr>
          <w:p>
            <w:r>
              <w:t>设备数量和质量检验</w:t>
            </w:r>
          </w:p>
        </w:tc>
      </w:tr>
      <w:tr>
        <w:tc>
          <w:tcPr>
            <w:tcW w:w="2400" w:type="dxa"/>
          </w:tcPr>
          <w:p>
            <w:r>
              <w:t>安装施工</w:t>
            </w:r>
          </w:p>
        </w:tc>
        <w:tc>
          <w:tcPr>
            <w:tcW w:w="2400" w:type="dxa"/>
          </w:tcPr>
          <w:p>
            <w:r>
              <w:t>第56—90天</w:t>
            </w:r>
          </w:p>
        </w:tc>
        <w:tc>
          <w:tcPr>
            <w:tcW w:w="2400" w:type="dxa"/>
          </w:tcPr>
          <w:p>
            <w:r>
              <w:t>设备安装与线缆检查</w:t>
            </w:r>
          </w:p>
        </w:tc>
      </w:tr>
      <w:tr>
        <w:tc>
          <w:tcPr>
            <w:tcW w:w="2400" w:type="dxa"/>
          </w:tcPr>
          <w:p>
            <w:r>
              <w:t>联合调试</w:t>
            </w:r>
          </w:p>
        </w:tc>
        <w:tc>
          <w:tcPr>
            <w:tcW w:w="2400" w:type="dxa"/>
          </w:tcPr>
          <w:p>
            <w:r>
              <w:t>第91—110天</w:t>
            </w:r>
          </w:p>
        </w:tc>
        <w:tc>
          <w:tcPr>
            <w:tcW w:w="2400" w:type="dxa"/>
          </w:tcPr>
          <w:p>
            <w:r>
              <w:t>系统联动测试完成</w:t>
            </w:r>
          </w:p>
        </w:tc>
      </w:tr>
      <w:tr>
        <w:tc>
          <w:tcPr>
            <w:tcW w:w="2400" w:type="dxa"/>
          </w:tcPr>
          <w:p>
            <w:r>
              <w:t>试运行与验收</w:t>
            </w:r>
          </w:p>
        </w:tc>
        <w:tc>
          <w:tcPr>
            <w:tcW w:w="2400" w:type="dxa"/>
          </w:tcPr>
          <w:p>
            <w:r>
              <w:t>第111—120天</w:t>
            </w:r>
          </w:p>
        </w:tc>
        <w:tc>
          <w:tcPr>
            <w:tcW w:w="2400" w:type="dxa"/>
          </w:tcPr>
          <w:p>
            <w:r>
              <w:t>连续72小时试运行并验收</w:t>
            </w:r>
          </w:p>
        </w:tc>
      </w:tr>
    </w:tbl>
    <w:p>
      <w:pPr>
        <w:pStyle w:val="Heading1"/>
      </w:pPr>
      <w:r>
        <w:t>5 质量保证</w:t>
      </w:r>
    </w:p>
    <w:p>
      <w:r>
        <w:t>以“一次验收合格”为质量目标，对材料进场、安装过程、测试记录和验收资料实施四级检查；联合调试后执行连续72小时试运行。</w:t>
      </w:r>
    </w:p>
    <w:p>
      <w:pPr>
        <w:pStyle w:val="Heading1"/>
      </w:pPr>
      <w:r>
        <w:t>6 安全文明施工</w:t>
      </w:r>
    </w:p>
    <w:p>
      <w:r>
        <w:t>安全目标为“零较大及以上安全事故”。进场前完成安全交底，执行临电、动火、高处作业和受限空间检查，异常时立即停工并上报。</w:t>
      </w:r>
    </w:p>
    <w:p>
      <w:pPr>
        <w:pStyle w:val="Heading1"/>
      </w:pPr>
      <w:r>
        <w:t>7 测试与验收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验收项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w="2400" w:type="dxa"/>
          </w:tcPr>
          <w:p>
            <w:r>
              <w:t>设备数量</w:t>
            </w:r>
          </w:p>
        </w:tc>
        <w:tc>
          <w:tcPr>
            <w:tcW w:w="2400" w:type="dxa"/>
          </w:tcPr>
          <w:p>
            <w:r>
              <w:t>48套传感器、12台采集柜、36台摄像机、6台网关逐项核对</w:t>
            </w:r>
          </w:p>
        </w:tc>
      </w:tr>
      <w:tr>
        <w:tc>
          <w:tcPr>
            <w:tcW w:w="2400" w:type="dxa"/>
          </w:tcPr>
          <w:p>
            <w:r>
              <w:t>点位连通性</w:t>
            </w:r>
          </w:p>
        </w:tc>
        <w:tc>
          <w:tcPr>
            <w:tcW w:w="2400" w:type="dxa"/>
          </w:tcPr>
          <w:p>
            <w:r>
              <w:t>全部点位通信正常</w:t>
            </w:r>
          </w:p>
        </w:tc>
      </w:tr>
      <w:tr>
        <w:tc>
          <w:tcPr>
            <w:tcW w:w="2400" w:type="dxa"/>
          </w:tcPr>
          <w:p>
            <w:r>
              <w:t>告警联动</w:t>
            </w:r>
          </w:p>
        </w:tc>
        <w:tc>
          <w:tcPr>
            <w:tcW w:w="2400" w:type="dxa"/>
          </w:tcPr>
          <w:p>
            <w:r>
              <w:t>告警产生、转发和处置闭环正常</w:t>
            </w:r>
          </w:p>
        </w:tc>
      </w:tr>
      <w:tr>
        <w:tc>
          <w:tcPr>
            <w:tcW w:w="2400" w:type="dxa"/>
          </w:tcPr>
          <w:p>
            <w:r>
              <w:t>连续试运行</w:t>
            </w:r>
          </w:p>
        </w:tc>
        <w:tc>
          <w:tcPr>
            <w:tcW w:w="2400" w:type="dxa"/>
          </w:tcPr>
          <w:p>
            <w:r>
              <w:t>连续72小时运行完成</w:t>
            </w:r>
          </w:p>
        </w:tc>
      </w:tr>
      <w:tr>
        <w:tc>
          <w:tcPr>
            <w:tcW w:w="2400" w:type="dxa"/>
          </w:tcPr>
          <w:p>
            <w:r>
              <w:t>资料归档</w:t>
            </w:r>
          </w:p>
        </w:tc>
        <w:tc>
          <w:tcPr>
            <w:tcW w:w="2400" w:type="dxa"/>
          </w:tcPr>
          <w:p>
            <w:r>
              <w:t>图纸、清单和测试记录齐全</w:t>
            </w:r>
          </w:p>
        </w:tc>
      </w:tr>
      <w:tr>
        <w:tc>
          <w:tcPr>
            <w:tcW w:w="2400" w:type="dxa"/>
          </w:tcPr>
          <w:p>
            <w:r>
              <w:t>人员培训</w:t>
            </w:r>
          </w:p>
        </w:tc>
        <w:tc>
          <w:tcPr>
            <w:tcW w:w="2400" w:type="dxa"/>
          </w:tcPr>
          <w:p>
            <w:r>
              <w:t>操作与维护培训完成并留存签到</w:t>
            </w:r>
          </w:p>
        </w:tc>
      </w:tr>
    </w:tbl>
    <w:p>
      <w:pPr>
        <w:pStyle w:val="Heading1"/>
      </w:pPr>
      <w:r>
        <w:t>8 质保与应急</w:t>
      </w:r>
    </w:p>
    <w:p>
      <w:r>
        <w:t>提供24个月质保服务。发生设备或通信异常时，先隔离影响范围、保留日志，再按故障等级组织恢复并复核告警链路。</w:t>
      </w:r>
    </w:p>
    <w:p>
      <w:pPr>
        <w:pStyle w:val="Heading1"/>
      </w:pPr>
      <w:r>
        <w:t>9 条款响应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评审项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分值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方案响应</w:t>
            </w:r>
          </w:p>
        </w:tc>
      </w:tr>
      <w:tr>
        <w:tc>
          <w:tcPr>
            <w:tcW w:w="2400" w:type="dxa"/>
          </w:tcPr>
          <w:p>
            <w:r>
              <w:t>技术响应</w:t>
            </w:r>
          </w:p>
        </w:tc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覆盖全部实施范围和设备数量</w:t>
            </w:r>
          </w:p>
        </w:tc>
      </w:tr>
      <w:tr>
        <w:tc>
          <w:tcPr>
            <w:tcW w:w="2400" w:type="dxa"/>
          </w:tcPr>
          <w:p>
            <w:r>
              <w:t>进度计划</w:t>
            </w:r>
          </w:p>
        </w:tc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完整列出六个强制里程碑</w:t>
            </w:r>
          </w:p>
        </w:tc>
      </w:tr>
      <w:tr>
        <w:tc>
          <w:tcPr>
            <w:tcW w:w="2400" w:type="dxa"/>
          </w:tcPr>
          <w:p>
            <w:r>
              <w:t>质量保证</w:t>
            </w:r>
          </w:p>
        </w:tc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写明一次验收合格和72小时试运行</w:t>
            </w:r>
          </w:p>
        </w:tc>
      </w:tr>
      <w:tr>
        <w:tc>
          <w:tcPr>
            <w:tcW w:w="2400" w:type="dxa"/>
          </w:tcPr>
          <w:p>
            <w:r>
              <w:t>安全文明</w:t>
            </w:r>
          </w:p>
        </w:tc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写明零较大及以上安全事故</w:t>
            </w:r>
          </w:p>
        </w:tc>
      </w:tr>
      <w:tr>
        <w:tc>
          <w:tcPr>
            <w:tcW w:w="2400" w:type="dxa"/>
          </w:tcPr>
          <w:p>
            <w:r>
              <w:t>组织配置</w:t>
            </w:r>
          </w:p>
        </w:tc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准确列出三名项目人员及合成证书</w:t>
            </w:r>
          </w:p>
        </w:tc>
      </w:tr>
      <w:tr>
        <w:tc>
          <w:tcPr>
            <w:tcW w:w="2400" w:type="dxa"/>
          </w:tcPr>
          <w:p>
            <w:r>
              <w:t>测试验收</w:t>
            </w:r>
          </w:p>
        </w:tc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覆盖六项验收要求</w:t>
            </w:r>
          </w:p>
        </w:tc>
      </w:tr>
      <w:tr>
        <w:tc>
          <w:tcPr>
            <w:tcW w:w="2400" w:type="dxa"/>
          </w:tcPr>
          <w:p>
            <w:r>
              <w:t>质保服务</w:t>
            </w:r>
          </w:p>
        </w:tc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写明24个月质保期</w:t>
            </w:r>
          </w:p>
        </w:tc>
      </w:tr>
    </w:tbl>
    <w:p>
      <w:r>
        <w:t>本方案仅依据给定合成材料编制，未增加品牌、奖项、类似项目业绩或材料之外的资格证书。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SC" w:eastAsia="Noto Sans CJK SC"/>
        <w:sz w:val="21"/>
      </w:rPr>
    </w:rPrDefault>
  </w:docDefaults>
  <w:style w:type="paragraph" w:default="1" w:styleId="Normal">
    <w:name w:val="正文"/>
  </w:style>
  <w:style w:type="paragraph" w:styleId="Title">
    <w:name w:val="标题"/>
    <w:basedOn w:val="Normal"/>
    <w:qFormat/>
    <w:pPr>
      <w:jc w:val="center"/>
      <w:spacing w:after="360"/>
    </w:pPr>
    <w:rPr>
      <w:b/>
      <w:sz w:val="36"/>
    </w:rPr>
  </w:style>
  <w:style w:type="paragraph" w:styleId="Heading1">
    <w:name w:val="标题 1"/>
    <w:basedOn w:val="Normal"/>
    <w:qFormat/>
    <w:pPr>
      <w:keepNext/>
      <w:spacing w:before="240" w:after="120"/>
      <w:outlineLvl w:val="0"/>
    </w:pPr>
    <w:rPr>
      <w:b/>
      <w:color w:val="1F4E78"/>
      <w:sz w:val="28"/>
    </w:rPr>
  </w:style>
  <w:style w:type="paragraph" w:styleId="Heading2">
    <w:name w:val="标题 2"/>
    <w:basedOn w:val="Normal"/>
    <w:qFormat/>
    <w:pPr>
      <w:keepNext/>
      <w:spacing w:before="180" w:after="90"/>
      <w:outlineLvl w:val="1"/>
    </w:pPr>
    <w:rPr>
      <w:b/>
      <w:color w:val="2F75B5"/>
      <w:sz w:val="24"/>
    </w:rPr>
  </w:style>
  <w:style w:type="table" w:styleId="TableGrid">
    <w:name w:val="表格网格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agent_sft deterministic OOXML writer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合成施工实施方案模板</dc:title>
  <dc:creator>agent_sft synthetic fixture</dc:creator>
  <cp:lastModifiedBy>agent_sft synthetic fixture</cp:lastModifiedBy>
  <dcterms:created xsi:type="dcterms:W3CDTF">2026-01-01T00:00:00Z</dcterms:created>
  <dcterms:modified xsi:type="dcterms:W3CDTF">2026-01-01T00:00:00Z</dcterms:modified>
</cp:coreProperties>
</file>