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07D96"/>
          <w:sz w:val="32"/>
        </w:rPr>
        <w:t>FINSIGHT AI</w:t>
      </w:r>
    </w:p>
    <w:p>
      <w:pPr>
        <w:pStyle w:val="Title"/>
        <w:spacing w:before="240"/>
        <w:jc w:val="center"/>
      </w:pPr>
      <w:r>
        <w:t>Credit Risk &amp;</w:t>
        <w:br/>
        <w:t>Lending Intelligence Platform</w:t>
      </w:r>
    </w:p>
    <w:p>
      <w:pPr>
        <w:spacing w:before="200"/>
        <w:jc w:val="center"/>
      </w:pPr>
      <w:r>
        <w:rPr>
          <w:b/>
          <w:color w:val="415064"/>
          <w:sz w:val="30"/>
        </w:rPr>
        <w:t>End-to-End Fintech Data Science Project</w:t>
      </w:r>
    </w:p>
    <w:p>
      <w:pPr>
        <w:spacing w:before="500"/>
        <w:jc w:val="center"/>
      </w:pPr>
      <w:r>
        <w:rPr>
          <w:sz w:val="20"/>
        </w:rPr>
        <w:t>Machine Learning  •  Explainable AI  •  Credit Risk Analytics  •  Streamlit</w:t>
      </w:r>
    </w:p>
    <w:p/>
    <w:tbl>
      <w:tblPr>
        <w:tblStyle w:val="TableGrid"/>
        <w:tblW w:type="auto" w:w="0"/>
        <w:jc w:val="center"/>
        <w:tblLook w:firstColumn="1" w:firstRow="1" w:lastColumn="0" w:lastRow="0" w:noHBand="0" w:noVBand="1" w:val="04A0"/>
      </w:tblPr>
      <w:tblGrid>
        <w:gridCol w:w="4968"/>
        <w:gridCol w:w="4968"/>
      </w:tblGrid>
      <w:tr>
        <w:tc>
          <w:tcPr>
            <w:tcW w:type="dxa" w:w="2232"/>
            <w:vAlign w:val="center"/>
            <w:shd w:fill="123052"/>
          </w:tcPr>
          <w:p>
            <w:pPr>
              <w:spacing w:after="20"/>
            </w:pPr>
            <w:r/>
            <w:r>
              <w:rPr>
                <w:rFonts w:ascii="Aptos" w:hAnsi="Aptos"/>
                <w:b/>
                <w:color w:val="FFFFFF"/>
                <w:sz w:val="17"/>
              </w:rPr>
              <w:t>Project design</w:t>
            </w:r>
          </w:p>
        </w:tc>
        <w:tc>
          <w:tcPr>
            <w:tcW w:type="dxa" w:w="7488"/>
            <w:vAlign w:val="center"/>
            <w:shd w:fill="123052"/>
          </w:tcPr>
          <w:p>
            <w:pPr>
              <w:spacing w:after="20"/>
            </w:pPr>
            <w:r/>
            <w:r>
              <w:rPr>
                <w:rFonts w:ascii="Aptos" w:hAnsi="Aptos"/>
                <w:b/>
                <w:color w:val="FFFFFF"/>
                <w:sz w:val="17"/>
              </w:rPr>
              <w:t>Implementation choice</w:t>
            </w:r>
          </w:p>
        </w:tc>
      </w:tr>
      <w:tr>
        <w:tc>
          <w:tcPr>
            <w:tcW w:type="dxa" w:w="2232"/>
            <w:vAlign w:val="center"/>
          </w:tcPr>
          <w:p>
            <w:pPr>
              <w:spacing w:after="20"/>
            </w:pPr>
            <w:r/>
            <w:r>
              <w:rPr>
                <w:rFonts w:ascii="Aptos" w:hAnsi="Aptos"/>
                <w:b w:val="0"/>
                <w:sz w:val="16"/>
              </w:rPr>
              <w:t>Application</w:t>
            </w:r>
          </w:p>
        </w:tc>
        <w:tc>
          <w:tcPr>
            <w:tcW w:type="dxa" w:w="7488"/>
            <w:vAlign w:val="center"/>
          </w:tcPr>
          <w:p>
            <w:pPr>
              <w:spacing w:after="20"/>
            </w:pPr>
            <w:r/>
            <w:r>
              <w:rPr>
                <w:rFonts w:ascii="Aptos" w:hAnsi="Aptos"/>
                <w:b w:val="0"/>
                <w:sz w:val="16"/>
              </w:rPr>
              <w:t>Interactive credit-risk analytics and borrower assessment</w:t>
            </w:r>
          </w:p>
        </w:tc>
      </w:tr>
      <w:tr>
        <w:tc>
          <w:tcPr>
            <w:tcW w:type="dxa" w:w="2232"/>
            <w:vAlign w:val="center"/>
            <w:shd w:fill="F1F5F9"/>
          </w:tcPr>
          <w:p>
            <w:pPr>
              <w:spacing w:after="20"/>
            </w:pPr>
            <w:r/>
            <w:r>
              <w:rPr>
                <w:rFonts w:ascii="Aptos" w:hAnsi="Aptos"/>
                <w:b w:val="0"/>
                <w:sz w:val="16"/>
              </w:rPr>
              <w:t>Core stack</w:t>
            </w:r>
          </w:p>
        </w:tc>
        <w:tc>
          <w:tcPr>
            <w:tcW w:type="dxa" w:w="7488"/>
            <w:vAlign w:val="center"/>
            <w:shd w:fill="F1F5F9"/>
          </w:tcPr>
          <w:p>
            <w:pPr>
              <w:spacing w:after="20"/>
            </w:pPr>
            <w:r/>
            <w:r>
              <w:rPr>
                <w:rFonts w:ascii="Aptos" w:hAnsi="Aptos"/>
                <w:b w:val="0"/>
                <w:sz w:val="16"/>
              </w:rPr>
              <w:t>Python, Pandas, NumPy, scikit-learn, XGBoost, SHAP</w:t>
            </w:r>
          </w:p>
        </w:tc>
      </w:tr>
      <w:tr>
        <w:tc>
          <w:tcPr>
            <w:tcW w:type="dxa" w:w="2232"/>
            <w:vAlign w:val="center"/>
          </w:tcPr>
          <w:p>
            <w:pPr>
              <w:spacing w:after="20"/>
            </w:pPr>
            <w:r/>
            <w:r>
              <w:rPr>
                <w:rFonts w:ascii="Aptos" w:hAnsi="Aptos"/>
                <w:b w:val="0"/>
                <w:sz w:val="16"/>
              </w:rPr>
              <w:t>Interface</w:t>
            </w:r>
          </w:p>
        </w:tc>
        <w:tc>
          <w:tcPr>
            <w:tcW w:type="dxa" w:w="7488"/>
            <w:vAlign w:val="center"/>
          </w:tcPr>
          <w:p>
            <w:pPr>
              <w:spacing w:after="20"/>
            </w:pPr>
            <w:r/>
            <w:r>
              <w:rPr>
                <w:rFonts w:ascii="Aptos" w:hAnsi="Aptos"/>
                <w:b w:val="0"/>
                <w:sz w:val="16"/>
              </w:rPr>
              <w:t>Streamlit</w:t>
            </w:r>
          </w:p>
        </w:tc>
      </w:tr>
      <w:tr>
        <w:tc>
          <w:tcPr>
            <w:tcW w:type="dxa" w:w="2232"/>
            <w:vAlign w:val="center"/>
            <w:shd w:fill="F1F5F9"/>
          </w:tcPr>
          <w:p>
            <w:pPr>
              <w:spacing w:after="20"/>
            </w:pPr>
            <w:r/>
            <w:r>
              <w:rPr>
                <w:rFonts w:ascii="Aptos" w:hAnsi="Aptos"/>
                <w:b w:val="0"/>
                <w:sz w:val="16"/>
              </w:rPr>
              <w:t>Persistence</w:t>
            </w:r>
          </w:p>
        </w:tc>
        <w:tc>
          <w:tcPr>
            <w:tcW w:type="dxa" w:w="7488"/>
            <w:vAlign w:val="center"/>
            <w:shd w:fill="F1F5F9"/>
          </w:tcPr>
          <w:p>
            <w:pPr>
              <w:spacing w:after="20"/>
            </w:pPr>
            <w:r/>
            <w:r>
              <w:rPr>
                <w:rFonts w:ascii="Aptos" w:hAnsi="Aptos"/>
                <w:b w:val="0"/>
                <w:sz w:val="16"/>
              </w:rPr>
              <w:t>No database; no saved prediction history</w:t>
            </w:r>
          </w:p>
        </w:tc>
      </w:tr>
      <w:tr>
        <w:tc>
          <w:tcPr>
            <w:tcW w:type="dxa" w:w="2232"/>
            <w:vAlign w:val="center"/>
          </w:tcPr>
          <w:p>
            <w:pPr>
              <w:spacing w:after="20"/>
            </w:pPr>
            <w:r/>
            <w:r>
              <w:rPr>
                <w:rFonts w:ascii="Aptos" w:hAnsi="Aptos"/>
                <w:b w:val="0"/>
                <w:sz w:val="16"/>
              </w:rPr>
              <w:t>Deployment path</w:t>
            </w:r>
          </w:p>
        </w:tc>
        <w:tc>
          <w:tcPr>
            <w:tcW w:type="dxa" w:w="7488"/>
            <w:vAlign w:val="center"/>
          </w:tcPr>
          <w:p>
            <w:pPr>
              <w:spacing w:after="20"/>
            </w:pPr>
            <w:r/>
            <w:r>
              <w:rPr>
                <w:rFonts w:ascii="Aptos" w:hAnsi="Aptos"/>
                <w:b w:val="0"/>
                <w:sz w:val="16"/>
              </w:rPr>
              <w:t>Streamlit Community Cloud first; AWS EC2 as a later deployment option</w:t>
            </w:r>
          </w:p>
        </w:tc>
      </w:tr>
      <w:tr>
        <w:tc>
          <w:tcPr>
            <w:tcW w:type="dxa" w:w="2232"/>
            <w:vAlign w:val="center"/>
            <w:shd w:fill="F1F5F9"/>
          </w:tcPr>
          <w:p>
            <w:pPr>
              <w:spacing w:after="20"/>
            </w:pPr>
            <w:r/>
            <w:r>
              <w:rPr>
                <w:rFonts w:ascii="Aptos" w:hAnsi="Aptos"/>
                <w:b w:val="0"/>
                <w:sz w:val="16"/>
              </w:rPr>
              <w:t>Containerization</w:t>
            </w:r>
          </w:p>
        </w:tc>
        <w:tc>
          <w:tcPr>
            <w:tcW w:type="dxa" w:w="7488"/>
            <w:vAlign w:val="center"/>
            <w:shd w:fill="F1F5F9"/>
          </w:tcPr>
          <w:p>
            <w:pPr>
              <w:spacing w:after="20"/>
            </w:pPr>
            <w:r/>
            <w:r>
              <w:rPr>
                <w:rFonts w:ascii="Aptos" w:hAnsi="Aptos"/>
                <w:b w:val="0"/>
                <w:sz w:val="16"/>
              </w:rPr>
              <w:t>Not required</w:t>
            </w:r>
          </w:p>
        </w:tc>
      </w:tr>
    </w:tbl>
    <w:p>
      <w:pPr>
        <w:spacing w:after="20"/>
      </w:pPr>
    </w:p>
    <w:p>
      <w:pPr>
        <w:spacing w:before="800"/>
        <w:jc w:val="center"/>
      </w:pPr>
      <w:r>
        <w:rPr>
          <w:b/>
          <w:color w:val="006887"/>
          <w:sz w:val="18"/>
        </w:rPr>
        <w:t>PROJECT IMPLEMENTATION GUIDE</w:t>
      </w:r>
    </w:p>
    <w:p>
      <w:r>
        <w:br w:type="page"/>
      </w:r>
    </w:p>
    <w:p>
      <w:pPr>
        <w:pStyle w:val="Heading1"/>
      </w:pPr>
      <w:r>
        <w:t>Contents</w:t>
      </w:r>
    </w:p>
    <w:p>
      <w:pPr>
        <w:pStyle w:val="ListBullet"/>
        <w:spacing w:after="40"/>
      </w:pPr>
      <w:r>
        <w:t>1. Executive Summary</w:t>
      </w:r>
    </w:p>
    <w:p>
      <w:pPr>
        <w:pStyle w:val="ListBullet"/>
        <w:spacing w:after="40"/>
      </w:pPr>
      <w:r>
        <w:t>2. Business Problem and Objectives</w:t>
      </w:r>
    </w:p>
    <w:p>
      <w:pPr>
        <w:pStyle w:val="ListBullet"/>
        <w:spacing w:after="40"/>
      </w:pPr>
      <w:r>
        <w:t>3. Scope and Core Features</w:t>
      </w:r>
    </w:p>
    <w:p>
      <w:pPr>
        <w:pStyle w:val="ListBullet"/>
        <w:spacing w:after="40"/>
      </w:pPr>
      <w:r>
        <w:t>4. Dataset and Target Definition</w:t>
      </w:r>
    </w:p>
    <w:p>
      <w:pPr>
        <w:pStyle w:val="ListBullet"/>
        <w:spacing w:after="40"/>
      </w:pPr>
      <w:r>
        <w:t>5. Technology Stack</w:t>
      </w:r>
    </w:p>
    <w:p>
      <w:pPr>
        <w:pStyle w:val="ListBullet"/>
        <w:spacing w:after="40"/>
      </w:pPr>
      <w:r>
        <w:t>6. System Architecture</w:t>
      </w:r>
    </w:p>
    <w:p>
      <w:pPr>
        <w:pStyle w:val="ListBullet"/>
        <w:spacing w:after="40"/>
      </w:pPr>
      <w:r>
        <w:t>7. Repository Structure</w:t>
      </w:r>
    </w:p>
    <w:p>
      <w:pPr>
        <w:pStyle w:val="ListBullet"/>
        <w:spacing w:after="40"/>
      </w:pPr>
      <w:r>
        <w:t>8. Notebook-by-Notebook Workflow</w:t>
      </w:r>
    </w:p>
    <w:p>
      <w:pPr>
        <w:pStyle w:val="ListBullet"/>
        <w:spacing w:after="40"/>
      </w:pPr>
      <w:r>
        <w:t>9. Machine Learning Methodology</w:t>
      </w:r>
    </w:p>
    <w:p>
      <w:pPr>
        <w:pStyle w:val="ListBullet"/>
        <w:spacing w:after="40"/>
      </w:pPr>
      <w:r>
        <w:t>10. Credit Risk and Expected-Loss Analytics</w:t>
      </w:r>
    </w:p>
    <w:p>
      <w:pPr>
        <w:pStyle w:val="ListBullet"/>
        <w:spacing w:after="40"/>
      </w:pPr>
      <w:r>
        <w:t>11. Streamlit Application Design</w:t>
      </w:r>
    </w:p>
    <w:p>
      <w:pPr>
        <w:pStyle w:val="ListBullet"/>
        <w:spacing w:after="40"/>
      </w:pPr>
      <w:r>
        <w:t>12. Privacy, Security and Responsible Use</w:t>
      </w:r>
    </w:p>
    <w:p>
      <w:pPr>
        <w:pStyle w:val="ListBullet"/>
        <w:spacing w:after="40"/>
      </w:pPr>
      <w:r>
        <w:t>13. Local Development Setup</w:t>
      </w:r>
    </w:p>
    <w:p>
      <w:pPr>
        <w:pStyle w:val="ListBullet"/>
        <w:spacing w:after="40"/>
      </w:pPr>
      <w:r>
        <w:t>14. Deployment on Streamlit Community Cloud</w:t>
      </w:r>
    </w:p>
    <w:p>
      <w:pPr>
        <w:pStyle w:val="ListBullet"/>
        <w:spacing w:after="40"/>
      </w:pPr>
      <w:r>
        <w:t>15. Deployment on AWS EC2 Without Containers</w:t>
      </w:r>
    </w:p>
    <w:p>
      <w:pPr>
        <w:pStyle w:val="ListBullet"/>
        <w:spacing w:after="40"/>
      </w:pPr>
      <w:r>
        <w:t>16. Testing and Quality Checklist</w:t>
      </w:r>
    </w:p>
    <w:p>
      <w:pPr>
        <w:pStyle w:val="ListBullet"/>
        <w:spacing w:after="40"/>
      </w:pPr>
      <w:r>
        <w:t>17. Six-Week Implementation Roadmap</w:t>
      </w:r>
    </w:p>
    <w:p>
      <w:pPr>
        <w:pStyle w:val="ListBullet"/>
        <w:spacing w:after="40"/>
      </w:pPr>
      <w:r>
        <w:t>18. Evaluation Criteria and Resume Description</w:t>
      </w:r>
    </w:p>
    <w:p>
      <w:pPr>
        <w:pStyle w:val="ListBullet"/>
        <w:spacing w:after="40"/>
      </w:pPr>
      <w:r>
        <w:t>19. Limitations and Future Enhancements</w:t>
      </w:r>
    </w:p>
    <w:p>
      <w:pPr>
        <w:pStyle w:val="Heading1"/>
      </w:pPr>
      <w:r>
        <w:t>1. Executive Summary</w:t>
      </w:r>
    </w:p>
    <w:p>
      <w:r>
        <w:t>FinSight AI is an end-to-end fintech data science application for analyzing borrower credit risk, estimating the probability of serious delinquency, interpreting model predictions, and exploring hypothetical credit-loss scenarios. It combines a reproducible machine-learning workflow with an interactive Streamlit dashboard.</w:t>
      </w:r>
    </w:p>
    <w:p>
      <w:r>
        <w:t>The project is designed to demonstrate practical skills in data cleaning, exploratory data analysis, feature engineering, supervised learning, imbalanced classification, probability calibration, model explainability, financial interpretation, and deployment.</w:t>
      </w:r>
    </w:p>
    <w:p>
      <w:r>
        <w:t>The first release uses a saved model artifact and does not require a database. Individual borrower inputs and prediction results are not stored as application history. FastAPI can be added later if a separate inference API becomes necessary.</w:t>
      </w:r>
    </w:p>
    <w:p>
      <w:pPr>
        <w:pStyle w:val="Heading1"/>
      </w:pPr>
      <w:r>
        <w:t>2. Business Problem and Objectives</w:t>
      </w:r>
    </w:p>
    <w:p>
      <w:r>
        <w:t>Lenders need to understand which borrower profiles are associated with elevated delinquency risk and how reliably a model can distinguish higher-risk cases. A useful analytics tool should do more than produce a class label: it should report probability estimates, show model limitations, explain important features, and communicate the trade-offs between missed risky cases and false alarms.</w:t>
      </w:r>
    </w:p>
    <w:p>
      <w:pPr>
        <w:pStyle w:val="Heading2"/>
      </w:pPr>
      <w:r>
        <w:t>Project objectives</w:t>
      </w:r>
    </w:p>
    <w:p>
      <w:pPr>
        <w:pStyle w:val="ListBullet"/>
        <w:spacing w:after="40"/>
      </w:pPr>
      <w:r>
        <w:t>Audit a public credit-risk dataset and document its target, feature definitions, missingness and limitations.</w:t>
      </w:r>
    </w:p>
    <w:p>
      <w:pPr>
        <w:pStyle w:val="ListBullet"/>
        <w:spacing w:after="40"/>
      </w:pPr>
      <w:r>
        <w:t>Explore patterns in borrower characteristics and serious delinquency outcomes.</w:t>
      </w:r>
    </w:p>
    <w:p>
      <w:pPr>
        <w:pStyle w:val="ListBullet"/>
        <w:spacing w:after="40"/>
      </w:pPr>
      <w:r>
        <w:t>Build leakage-aware preprocessing and feature-engineering pipelines.</w:t>
      </w:r>
    </w:p>
    <w:p>
      <w:pPr>
        <w:pStyle w:val="ListBullet"/>
        <w:spacing w:after="40"/>
      </w:pPr>
      <w:r>
        <w:t>Compare a transparent baseline model with tree-based models.</w:t>
      </w:r>
    </w:p>
    <w:p>
      <w:pPr>
        <w:pStyle w:val="ListBullet"/>
        <w:spacing w:after="40"/>
      </w:pPr>
      <w:r>
        <w:t>Evaluate discrimination, classification trade-offs and probability calibration.</w:t>
      </w:r>
    </w:p>
    <w:p>
      <w:pPr>
        <w:pStyle w:val="ListBullet"/>
        <w:spacing w:after="40"/>
      </w:pPr>
      <w:r>
        <w:t>Use SHAP or other appropriate tools to explain model behavior.</w:t>
      </w:r>
    </w:p>
    <w:p>
      <w:pPr>
        <w:pStyle w:val="ListBullet"/>
        <w:spacing w:after="40"/>
      </w:pPr>
      <w:r>
        <w:t>Provide portfolio summaries, borrower-level predictions and clearly labeled loss scenarios in Streamlit.</w:t>
      </w:r>
    </w:p>
    <w:p>
      <w:pPr>
        <w:pStyle w:val="ListBullet"/>
        <w:spacing w:after="40"/>
      </w:pPr>
      <w:r>
        <w:t>Deploy a reproducible public demonstration while minimizing the collection and retention of borrower data.</w:t>
      </w:r>
    </w:p>
    <w:p>
      <w:pPr>
        <w:pStyle w:val="Heading1"/>
      </w:pPr>
      <w:r>
        <w:t>3. Scope and Core Features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23052"/>
          </w:tcPr>
          <w:p>
            <w:pPr>
              <w:spacing w:after="20"/>
            </w:pPr>
            <w:r/>
            <w:r>
              <w:rPr>
                <w:rFonts w:ascii="Aptos" w:hAnsi="Aptos"/>
                <w:b/>
                <w:color w:val="FFFFFF"/>
                <w:sz w:val="17"/>
              </w:rPr>
              <w:t>Module</w:t>
            </w:r>
          </w:p>
        </w:tc>
        <w:tc>
          <w:tcPr>
            <w:tcW w:type="dxa" w:w="4680"/>
            <w:vAlign w:val="center"/>
            <w:shd w:fill="123052"/>
          </w:tcPr>
          <w:p>
            <w:pPr>
              <w:spacing w:after="20"/>
            </w:pPr>
            <w:r/>
            <w:r>
              <w:rPr>
                <w:rFonts w:ascii="Aptos" w:hAnsi="Aptos"/>
                <w:b/>
                <w:color w:val="FFFFFF"/>
                <w:sz w:val="17"/>
              </w:rPr>
              <w:t>Key functionality</w:t>
            </w:r>
          </w:p>
        </w:tc>
        <w:tc>
          <w:tcPr>
            <w:tcW w:type="dxa" w:w="2952"/>
            <w:vAlign w:val="center"/>
            <w:shd w:fill="123052"/>
          </w:tcPr>
          <w:p>
            <w:pPr>
              <w:spacing w:after="20"/>
            </w:pPr>
            <w:r/>
            <w:r>
              <w:rPr>
                <w:rFonts w:ascii="Aptos" w:hAnsi="Aptos"/>
                <w:b/>
                <w:color w:val="FFFFFF"/>
                <w:sz w:val="17"/>
              </w:rPr>
              <w:t>Primary output</w:t>
            </w:r>
          </w:p>
        </w:tc>
      </w:tr>
      <w:tr>
        <w:tc>
          <w:tcPr>
            <w:tcW w:type="dxa" w:w="2088"/>
            <w:vAlign w:val="center"/>
          </w:tcPr>
          <w:p>
            <w:pPr>
              <w:spacing w:after="20"/>
            </w:pPr>
            <w:r/>
            <w:r>
              <w:rPr>
                <w:rFonts w:ascii="Aptos" w:hAnsi="Aptos"/>
                <w:b w:val="0"/>
                <w:sz w:val="16"/>
              </w:rPr>
              <w:t>Portfolio Risk Analytics</w:t>
            </w:r>
          </w:p>
        </w:tc>
        <w:tc>
          <w:tcPr>
            <w:tcW w:type="dxa" w:w="4680"/>
            <w:vAlign w:val="center"/>
          </w:tcPr>
          <w:p>
            <w:pPr>
              <w:spacing w:after="20"/>
            </w:pPr>
            <w:r/>
            <w:r>
              <w:rPr>
                <w:rFonts w:ascii="Aptos" w:hAnsi="Aptos"/>
                <w:b w:val="0"/>
                <w:sz w:val="16"/>
              </w:rPr>
              <w:t>Target prevalence, distributions, segment comparisons, missingness and risk patterns</w:t>
            </w:r>
          </w:p>
        </w:tc>
        <w:tc>
          <w:tcPr>
            <w:tcW w:type="dxa" w:w="2952"/>
            <w:vAlign w:val="center"/>
          </w:tcPr>
          <w:p>
            <w:pPr>
              <w:spacing w:after="20"/>
            </w:pPr>
            <w:r/>
            <w:r>
              <w:rPr>
                <w:rFonts w:ascii="Aptos" w:hAnsi="Aptos"/>
                <w:b w:val="0"/>
                <w:sz w:val="16"/>
              </w:rPr>
              <w:t>Charts and analytical findings</w:t>
            </w:r>
          </w:p>
        </w:tc>
      </w:tr>
      <w:tr>
        <w:tc>
          <w:tcPr>
            <w:tcW w:type="dxa" w:w="2088"/>
            <w:vAlign w:val="center"/>
            <w:shd w:fill="F1F5F9"/>
          </w:tcPr>
          <w:p>
            <w:pPr>
              <w:spacing w:after="20"/>
            </w:pPr>
            <w:r/>
            <w:r>
              <w:rPr>
                <w:rFonts w:ascii="Aptos" w:hAnsi="Aptos"/>
                <w:b w:val="0"/>
                <w:sz w:val="16"/>
              </w:rPr>
              <w:t>Borrower Assessment</w:t>
            </w:r>
          </w:p>
        </w:tc>
        <w:tc>
          <w:tcPr>
            <w:tcW w:type="dxa" w:w="4680"/>
            <w:vAlign w:val="center"/>
            <w:shd w:fill="F1F5F9"/>
          </w:tcPr>
          <w:p>
            <w:pPr>
              <w:spacing w:after="20"/>
            </w:pPr>
            <w:r/>
            <w:r>
              <w:rPr>
                <w:rFonts w:ascii="Aptos" w:hAnsi="Aptos"/>
                <w:b w:val="0"/>
                <w:sz w:val="16"/>
              </w:rPr>
              <w:t>Input validated feature values and request a prediction</w:t>
            </w:r>
          </w:p>
        </w:tc>
        <w:tc>
          <w:tcPr>
            <w:tcW w:type="dxa" w:w="2952"/>
            <w:vAlign w:val="center"/>
            <w:shd w:fill="F1F5F9"/>
          </w:tcPr>
          <w:p>
            <w:pPr>
              <w:spacing w:after="20"/>
            </w:pPr>
            <w:r/>
            <w:r>
              <w:rPr>
                <w:rFonts w:ascii="Aptos" w:hAnsi="Aptos"/>
                <w:b w:val="0"/>
                <w:sz w:val="16"/>
              </w:rPr>
              <w:t>Estimated probability and configurable risk band</w:t>
            </w:r>
          </w:p>
        </w:tc>
      </w:tr>
      <w:tr>
        <w:tc>
          <w:tcPr>
            <w:tcW w:type="dxa" w:w="2088"/>
            <w:vAlign w:val="center"/>
          </w:tcPr>
          <w:p>
            <w:pPr>
              <w:spacing w:after="20"/>
            </w:pPr>
            <w:r/>
            <w:r>
              <w:rPr>
                <w:rFonts w:ascii="Aptos" w:hAnsi="Aptos"/>
                <w:b w:val="0"/>
                <w:sz w:val="16"/>
              </w:rPr>
              <w:t>Model Performance Lab</w:t>
            </w:r>
          </w:p>
        </w:tc>
        <w:tc>
          <w:tcPr>
            <w:tcW w:type="dxa" w:w="4680"/>
            <w:vAlign w:val="center"/>
          </w:tcPr>
          <w:p>
            <w:pPr>
              <w:spacing w:after="20"/>
            </w:pPr>
            <w:r/>
            <w:r>
              <w:rPr>
                <w:rFonts w:ascii="Aptos" w:hAnsi="Aptos"/>
                <w:b w:val="0"/>
                <w:sz w:val="16"/>
              </w:rPr>
              <w:t>Compare models, thresholds and metrics</w:t>
            </w:r>
          </w:p>
        </w:tc>
        <w:tc>
          <w:tcPr>
            <w:tcW w:type="dxa" w:w="2952"/>
            <w:vAlign w:val="center"/>
          </w:tcPr>
          <w:p>
            <w:pPr>
              <w:spacing w:after="20"/>
            </w:pPr>
            <w:r/>
            <w:r>
              <w:rPr>
                <w:rFonts w:ascii="Aptos" w:hAnsi="Aptos"/>
                <w:b w:val="0"/>
                <w:sz w:val="16"/>
              </w:rPr>
              <w:t>Evaluation tables, ROC/PR curves and calibration plots</w:t>
            </w:r>
          </w:p>
        </w:tc>
      </w:tr>
      <w:tr>
        <w:tc>
          <w:tcPr>
            <w:tcW w:type="dxa" w:w="2088"/>
            <w:vAlign w:val="center"/>
            <w:shd w:fill="F1F5F9"/>
          </w:tcPr>
          <w:p>
            <w:pPr>
              <w:spacing w:after="20"/>
            </w:pPr>
            <w:r/>
            <w:r>
              <w:rPr>
                <w:rFonts w:ascii="Aptos" w:hAnsi="Aptos"/>
                <w:b w:val="0"/>
                <w:sz w:val="16"/>
              </w:rPr>
              <w:t>Explainable Credit Risk</w:t>
            </w:r>
          </w:p>
        </w:tc>
        <w:tc>
          <w:tcPr>
            <w:tcW w:type="dxa" w:w="4680"/>
            <w:vAlign w:val="center"/>
            <w:shd w:fill="F1F5F9"/>
          </w:tcPr>
          <w:p>
            <w:pPr>
              <w:spacing w:after="20"/>
            </w:pPr>
            <w:r/>
            <w:r>
              <w:rPr>
                <w:rFonts w:ascii="Aptos" w:hAnsi="Aptos"/>
                <w:b w:val="0"/>
                <w:sz w:val="16"/>
              </w:rPr>
              <w:t>Global and individual feature-contribution analysis</w:t>
            </w:r>
          </w:p>
        </w:tc>
        <w:tc>
          <w:tcPr>
            <w:tcW w:type="dxa" w:w="2952"/>
            <w:vAlign w:val="center"/>
            <w:shd w:fill="F1F5F9"/>
          </w:tcPr>
          <w:p>
            <w:pPr>
              <w:spacing w:after="20"/>
            </w:pPr>
            <w:r/>
            <w:r>
              <w:rPr>
                <w:rFonts w:ascii="Aptos" w:hAnsi="Aptos"/>
                <w:b w:val="0"/>
                <w:sz w:val="16"/>
              </w:rPr>
              <w:t>SHAP summaries and prediction explanations</w:t>
            </w:r>
          </w:p>
        </w:tc>
      </w:tr>
      <w:tr>
        <w:tc>
          <w:tcPr>
            <w:tcW w:type="dxa" w:w="2088"/>
            <w:vAlign w:val="center"/>
          </w:tcPr>
          <w:p>
            <w:pPr>
              <w:spacing w:after="20"/>
            </w:pPr>
            <w:r/>
            <w:r>
              <w:rPr>
                <w:rFonts w:ascii="Aptos" w:hAnsi="Aptos"/>
                <w:b w:val="0"/>
                <w:sz w:val="16"/>
              </w:rPr>
              <w:t>Loss Scenario Analysis</w:t>
            </w:r>
          </w:p>
        </w:tc>
        <w:tc>
          <w:tcPr>
            <w:tcW w:type="dxa" w:w="4680"/>
            <w:vAlign w:val="center"/>
          </w:tcPr>
          <w:p>
            <w:pPr>
              <w:spacing w:after="20"/>
            </w:pPr>
            <w:r/>
            <w:r>
              <w:rPr>
                <w:rFonts w:ascii="Aptos" w:hAnsi="Aptos"/>
                <w:b w:val="0"/>
                <w:sz w:val="16"/>
              </w:rPr>
              <w:t>Combine PD, LGD and EAD under explicit assumptions</w:t>
            </w:r>
          </w:p>
        </w:tc>
        <w:tc>
          <w:tcPr>
            <w:tcW w:type="dxa" w:w="2952"/>
            <w:vAlign w:val="center"/>
          </w:tcPr>
          <w:p>
            <w:pPr>
              <w:spacing w:after="20"/>
            </w:pPr>
            <w:r/>
            <w:r>
              <w:rPr>
                <w:rFonts w:ascii="Aptos" w:hAnsi="Aptos"/>
                <w:b w:val="0"/>
                <w:sz w:val="16"/>
              </w:rPr>
              <w:t>Hypothetical expected-loss scenarios</w:t>
            </w:r>
          </w:p>
        </w:tc>
      </w:tr>
    </w:tbl>
    <w:p>
      <w:pPr>
        <w:spacing w:after="20"/>
      </w:pPr>
    </w:p>
    <w:p>
      <w:r>
        <w:t>The application is a decision-support and educational portfolio project. It must not be presented as a production lending decision engine or as a substitute for validated credit policy, human oversight, regulatory review or fair-lending controls.</w:t>
      </w:r>
    </w:p>
    <w:p>
      <w:pPr>
        <w:pStyle w:val="Heading1"/>
      </w:pPr>
      <w:r>
        <w:t>4. Dataset and Target Definition</w:t>
      </w:r>
    </w:p>
    <w:p>
      <w:r>
        <w:t>A suitable starting point is the Give Me Some Credit dataset. Its target field, SeriousDlqin2yrs, indicates whether an individual experienced serious delinquency within a two-year period. This is a specific observed outcome and should not be described as a universal definition of loan default.</w:t>
      </w:r>
    </w:p>
    <w:p>
      <w:pPr>
        <w:pStyle w:val="Heading2"/>
      </w:pPr>
      <w:r>
        <w:t>Data preparation tasks</w:t>
      </w:r>
    </w:p>
    <w:p>
      <w:pPr>
        <w:pStyle w:val="ListBullet"/>
        <w:spacing w:after="40"/>
      </w:pPr>
      <w:r>
        <w:t>Record the source, license or terms of use, dataset version, row count and column definitions.</w:t>
      </w:r>
    </w:p>
    <w:p>
      <w:pPr>
        <w:pStyle w:val="ListBullet"/>
        <w:spacing w:after="40"/>
      </w:pPr>
      <w:r>
        <w:t>Inspect data types, invalid values, duplicate records, missing values and target prevalence.</w:t>
      </w:r>
    </w:p>
    <w:p>
      <w:pPr>
        <w:pStyle w:val="ListBullet"/>
        <w:spacing w:after="40"/>
      </w:pPr>
      <w:r>
        <w:t>Review feature meaning and units before creating ratios or transformations.</w:t>
      </w:r>
    </w:p>
    <w:p>
      <w:pPr>
        <w:pStyle w:val="ListBullet"/>
        <w:spacing w:after="40"/>
      </w:pPr>
      <w:r>
        <w:t>Check whether an identifier column should be excluded from model features.</w:t>
      </w:r>
    </w:p>
    <w:p>
      <w:pPr>
        <w:pStyle w:val="ListBullet"/>
        <w:spacing w:after="40"/>
      </w:pPr>
      <w:r>
        <w:t>Keep a clear distinction between features available at prediction time and any outcome-derived fields.</w:t>
      </w:r>
    </w:p>
    <w:p>
      <w:pPr>
        <w:pStyle w:val="ListBullet"/>
        <w:spacing w:after="40"/>
      </w:pPr>
      <w:r>
        <w:t>Avoid publishing raw data when the dataset terms or privacy characteristics do not permit redistribution.</w:t>
      </w:r>
    </w:p>
    <w:p>
      <w:pPr>
        <w:pStyle w:val="Heading2"/>
      </w:pPr>
      <w:r>
        <w:t>Dataset limitation</w:t>
      </w:r>
    </w:p>
    <w:p>
      <w:r>
        <w:t>This dataset supports delinquency-probability modeling but does not provide all the loan-level exposure and recovery data required to estimate a lender's actual expected credit loss. Therefore, the loss-analysis module must use explicit scenario assumptions for exposure at default (EAD) and loss given default (LGD), unless a separate suitable dataset is added.</w:t>
      </w:r>
    </w:p>
    <w:p>
      <w:pPr>
        <w:pStyle w:val="Heading1"/>
      </w:pPr>
      <w:r>
        <w:t>5.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23052"/>
          </w:tcPr>
          <w:p>
            <w:pPr>
              <w:spacing w:after="20"/>
            </w:pPr>
            <w:r/>
            <w:r>
              <w:rPr>
                <w:rFonts w:ascii="Aptos" w:hAnsi="Aptos"/>
                <w:b/>
                <w:color w:val="FFFFFF"/>
                <w:sz w:val="17"/>
              </w:rPr>
              <w:t>Layer</w:t>
            </w:r>
          </w:p>
        </w:tc>
        <w:tc>
          <w:tcPr>
            <w:tcW w:type="dxa" w:w="2592"/>
            <w:vAlign w:val="center"/>
            <w:shd w:fill="123052"/>
          </w:tcPr>
          <w:p>
            <w:pPr>
              <w:spacing w:after="20"/>
            </w:pPr>
            <w:r/>
            <w:r>
              <w:rPr>
                <w:rFonts w:ascii="Aptos" w:hAnsi="Aptos"/>
                <w:b/>
                <w:color w:val="FFFFFF"/>
                <w:sz w:val="17"/>
              </w:rPr>
              <w:t>Technology</w:t>
            </w:r>
          </w:p>
        </w:tc>
        <w:tc>
          <w:tcPr>
            <w:tcW w:type="dxa" w:w="5184"/>
            <w:vAlign w:val="center"/>
            <w:shd w:fill="123052"/>
          </w:tcPr>
          <w:p>
            <w:pPr>
              <w:spacing w:after="20"/>
            </w:pPr>
            <w:r/>
            <w:r>
              <w:rPr>
                <w:rFonts w:ascii="Aptos" w:hAnsi="Aptos"/>
                <w:b/>
                <w:color w:val="FFFFFF"/>
                <w:sz w:val="17"/>
              </w:rPr>
              <w:t>Role</w:t>
            </w:r>
          </w:p>
        </w:tc>
      </w:tr>
      <w:tr>
        <w:tc>
          <w:tcPr>
            <w:tcW w:type="dxa" w:w="1944"/>
            <w:vAlign w:val="center"/>
          </w:tcPr>
          <w:p>
            <w:pPr>
              <w:spacing w:after="20"/>
            </w:pPr>
            <w:r/>
            <w:r>
              <w:rPr>
                <w:rFonts w:ascii="Aptos" w:hAnsi="Aptos"/>
                <w:b w:val="0"/>
                <w:sz w:val="16"/>
              </w:rPr>
              <w:t>Programming and data</w:t>
            </w:r>
          </w:p>
        </w:tc>
        <w:tc>
          <w:tcPr>
            <w:tcW w:type="dxa" w:w="2592"/>
            <w:vAlign w:val="center"/>
          </w:tcPr>
          <w:p>
            <w:pPr>
              <w:spacing w:after="20"/>
            </w:pPr>
            <w:r/>
            <w:r>
              <w:rPr>
                <w:rFonts w:ascii="Aptos" w:hAnsi="Aptos"/>
                <w:b w:val="0"/>
                <w:sz w:val="16"/>
              </w:rPr>
              <w:t>Python, Pandas, NumPy</w:t>
            </w:r>
          </w:p>
        </w:tc>
        <w:tc>
          <w:tcPr>
            <w:tcW w:type="dxa" w:w="5184"/>
            <w:vAlign w:val="center"/>
          </w:tcPr>
          <w:p>
            <w:pPr>
              <w:spacing w:after="20"/>
            </w:pPr>
            <w:r/>
            <w:r>
              <w:rPr>
                <w:rFonts w:ascii="Aptos" w:hAnsi="Aptos"/>
                <w:b w:val="0"/>
                <w:sz w:val="16"/>
              </w:rPr>
              <w:t>Data validation, transformation and analysis</w:t>
            </w:r>
          </w:p>
        </w:tc>
      </w:tr>
      <w:tr>
        <w:tc>
          <w:tcPr>
            <w:tcW w:type="dxa" w:w="1944"/>
            <w:vAlign w:val="center"/>
            <w:shd w:fill="F1F5F9"/>
          </w:tcPr>
          <w:p>
            <w:pPr>
              <w:spacing w:after="20"/>
            </w:pPr>
            <w:r/>
            <w:r>
              <w:rPr>
                <w:rFonts w:ascii="Aptos" w:hAnsi="Aptos"/>
                <w:b w:val="0"/>
                <w:sz w:val="16"/>
              </w:rPr>
              <w:t>Visualization</w:t>
            </w:r>
          </w:p>
        </w:tc>
        <w:tc>
          <w:tcPr>
            <w:tcW w:type="dxa" w:w="2592"/>
            <w:vAlign w:val="center"/>
            <w:shd w:fill="F1F5F9"/>
          </w:tcPr>
          <w:p>
            <w:pPr>
              <w:spacing w:after="20"/>
            </w:pPr>
            <w:r/>
            <w:r>
              <w:rPr>
                <w:rFonts w:ascii="Aptos" w:hAnsi="Aptos"/>
                <w:b w:val="0"/>
                <w:sz w:val="16"/>
              </w:rPr>
              <w:t>Matplotlib, Seaborn, Plotly</w:t>
            </w:r>
          </w:p>
        </w:tc>
        <w:tc>
          <w:tcPr>
            <w:tcW w:type="dxa" w:w="5184"/>
            <w:vAlign w:val="center"/>
            <w:shd w:fill="F1F5F9"/>
          </w:tcPr>
          <w:p>
            <w:pPr>
              <w:spacing w:after="20"/>
            </w:pPr>
            <w:r/>
            <w:r>
              <w:rPr>
                <w:rFonts w:ascii="Aptos" w:hAnsi="Aptos"/>
                <w:b w:val="0"/>
                <w:sz w:val="16"/>
              </w:rPr>
              <w:t>EDA, evaluation plots and interactive dashboard charts</w:t>
            </w:r>
          </w:p>
        </w:tc>
      </w:tr>
      <w:tr>
        <w:tc>
          <w:tcPr>
            <w:tcW w:type="dxa" w:w="1944"/>
            <w:vAlign w:val="center"/>
          </w:tcPr>
          <w:p>
            <w:pPr>
              <w:spacing w:after="20"/>
            </w:pPr>
            <w:r/>
            <w:r>
              <w:rPr>
                <w:rFonts w:ascii="Aptos" w:hAnsi="Aptos"/>
                <w:b w:val="0"/>
                <w:sz w:val="16"/>
              </w:rPr>
              <w:t>Machine learning</w:t>
            </w:r>
          </w:p>
        </w:tc>
        <w:tc>
          <w:tcPr>
            <w:tcW w:type="dxa" w:w="2592"/>
            <w:vAlign w:val="center"/>
          </w:tcPr>
          <w:p>
            <w:pPr>
              <w:spacing w:after="20"/>
            </w:pPr>
            <w:r/>
            <w:r>
              <w:rPr>
                <w:rFonts w:ascii="Aptos" w:hAnsi="Aptos"/>
                <w:b w:val="0"/>
                <w:sz w:val="16"/>
              </w:rPr>
              <w:t>scikit-learn, XGBoost</w:t>
            </w:r>
          </w:p>
        </w:tc>
        <w:tc>
          <w:tcPr>
            <w:tcW w:type="dxa" w:w="5184"/>
            <w:vAlign w:val="center"/>
          </w:tcPr>
          <w:p>
            <w:pPr>
              <w:spacing w:after="20"/>
            </w:pPr>
            <w:r/>
            <w:r>
              <w:rPr>
                <w:rFonts w:ascii="Aptos" w:hAnsi="Aptos"/>
                <w:b w:val="0"/>
                <w:sz w:val="16"/>
              </w:rPr>
              <w:t>Baseline and advanced classification models</w:t>
            </w:r>
          </w:p>
        </w:tc>
      </w:tr>
      <w:tr>
        <w:tc>
          <w:tcPr>
            <w:tcW w:type="dxa" w:w="1944"/>
            <w:vAlign w:val="center"/>
            <w:shd w:fill="F1F5F9"/>
          </w:tcPr>
          <w:p>
            <w:pPr>
              <w:spacing w:after="20"/>
            </w:pPr>
            <w:r/>
            <w:r>
              <w:rPr>
                <w:rFonts w:ascii="Aptos" w:hAnsi="Aptos"/>
                <w:b w:val="0"/>
                <w:sz w:val="16"/>
              </w:rPr>
              <w:t>Explainability</w:t>
            </w:r>
          </w:p>
        </w:tc>
        <w:tc>
          <w:tcPr>
            <w:tcW w:type="dxa" w:w="2592"/>
            <w:vAlign w:val="center"/>
            <w:shd w:fill="F1F5F9"/>
          </w:tcPr>
          <w:p>
            <w:pPr>
              <w:spacing w:after="20"/>
            </w:pPr>
            <w:r/>
            <w:r>
              <w:rPr>
                <w:rFonts w:ascii="Aptos" w:hAnsi="Aptos"/>
                <w:b w:val="0"/>
                <w:sz w:val="16"/>
              </w:rPr>
              <w:t>SHAP</w:t>
            </w:r>
          </w:p>
        </w:tc>
        <w:tc>
          <w:tcPr>
            <w:tcW w:type="dxa" w:w="5184"/>
            <w:vAlign w:val="center"/>
            <w:shd w:fill="F1F5F9"/>
          </w:tcPr>
          <w:p>
            <w:pPr>
              <w:spacing w:after="20"/>
            </w:pPr>
            <w:r/>
            <w:r>
              <w:rPr>
                <w:rFonts w:ascii="Aptos" w:hAnsi="Aptos"/>
                <w:b w:val="0"/>
                <w:sz w:val="16"/>
              </w:rPr>
              <w:t>Global and individual model explanations</w:t>
            </w:r>
          </w:p>
        </w:tc>
      </w:tr>
      <w:tr>
        <w:tc>
          <w:tcPr>
            <w:tcW w:type="dxa" w:w="1944"/>
            <w:vAlign w:val="center"/>
          </w:tcPr>
          <w:p>
            <w:pPr>
              <w:spacing w:after="20"/>
            </w:pPr>
            <w:r/>
            <w:r>
              <w:rPr>
                <w:rFonts w:ascii="Aptos" w:hAnsi="Aptos"/>
                <w:b w:val="0"/>
                <w:sz w:val="16"/>
              </w:rPr>
              <w:t>Model artifact</w:t>
            </w:r>
          </w:p>
        </w:tc>
        <w:tc>
          <w:tcPr>
            <w:tcW w:type="dxa" w:w="2592"/>
            <w:vAlign w:val="center"/>
          </w:tcPr>
          <w:p>
            <w:pPr>
              <w:spacing w:after="20"/>
            </w:pPr>
            <w:r/>
            <w:r>
              <w:rPr>
                <w:rFonts w:ascii="Aptos" w:hAnsi="Aptos"/>
                <w:b w:val="0"/>
                <w:sz w:val="16"/>
              </w:rPr>
              <w:t>Joblib</w:t>
            </w:r>
          </w:p>
        </w:tc>
        <w:tc>
          <w:tcPr>
            <w:tcW w:type="dxa" w:w="5184"/>
            <w:vAlign w:val="center"/>
          </w:tcPr>
          <w:p>
            <w:pPr>
              <w:spacing w:after="20"/>
            </w:pPr>
            <w:r/>
            <w:r>
              <w:rPr>
                <w:rFonts w:ascii="Aptos" w:hAnsi="Aptos"/>
                <w:b w:val="0"/>
                <w:sz w:val="16"/>
              </w:rPr>
              <w:t>Save and load the fitted preprocessing/model pipeline</w:t>
            </w:r>
          </w:p>
        </w:tc>
      </w:tr>
      <w:tr>
        <w:tc>
          <w:tcPr>
            <w:tcW w:type="dxa" w:w="1944"/>
            <w:vAlign w:val="center"/>
            <w:shd w:fill="F1F5F9"/>
          </w:tcPr>
          <w:p>
            <w:pPr>
              <w:spacing w:after="20"/>
            </w:pPr>
            <w:r/>
            <w:r>
              <w:rPr>
                <w:rFonts w:ascii="Aptos" w:hAnsi="Aptos"/>
                <w:b w:val="0"/>
                <w:sz w:val="16"/>
              </w:rPr>
              <w:t>Application</w:t>
            </w:r>
          </w:p>
        </w:tc>
        <w:tc>
          <w:tcPr>
            <w:tcW w:type="dxa" w:w="2592"/>
            <w:vAlign w:val="center"/>
            <w:shd w:fill="F1F5F9"/>
          </w:tcPr>
          <w:p>
            <w:pPr>
              <w:spacing w:after="20"/>
            </w:pPr>
            <w:r/>
            <w:r>
              <w:rPr>
                <w:rFonts w:ascii="Aptos" w:hAnsi="Aptos"/>
                <w:b w:val="0"/>
                <w:sz w:val="16"/>
              </w:rPr>
              <w:t>Streamlit</w:t>
            </w:r>
          </w:p>
        </w:tc>
        <w:tc>
          <w:tcPr>
            <w:tcW w:type="dxa" w:w="5184"/>
            <w:vAlign w:val="center"/>
            <w:shd w:fill="F1F5F9"/>
          </w:tcPr>
          <w:p>
            <w:pPr>
              <w:spacing w:after="20"/>
            </w:pPr>
            <w:r/>
            <w:r>
              <w:rPr>
                <w:rFonts w:ascii="Aptos" w:hAnsi="Aptos"/>
                <w:b w:val="0"/>
                <w:sz w:val="16"/>
              </w:rPr>
              <w:t>User interface and dashboard</w:t>
            </w:r>
          </w:p>
        </w:tc>
      </w:tr>
      <w:tr>
        <w:tc>
          <w:tcPr>
            <w:tcW w:type="dxa" w:w="1944"/>
            <w:vAlign w:val="center"/>
          </w:tcPr>
          <w:p>
            <w:pPr>
              <w:spacing w:after="20"/>
            </w:pPr>
            <w:r/>
            <w:r>
              <w:rPr>
                <w:rFonts w:ascii="Aptos" w:hAnsi="Aptos"/>
                <w:b w:val="0"/>
                <w:sz w:val="16"/>
              </w:rPr>
              <w:t>Optional API</w:t>
            </w:r>
          </w:p>
        </w:tc>
        <w:tc>
          <w:tcPr>
            <w:tcW w:type="dxa" w:w="2592"/>
            <w:vAlign w:val="center"/>
          </w:tcPr>
          <w:p>
            <w:pPr>
              <w:spacing w:after="20"/>
            </w:pPr>
            <w:r/>
            <w:r>
              <w:rPr>
                <w:rFonts w:ascii="Aptos" w:hAnsi="Aptos"/>
                <w:b w:val="0"/>
                <w:sz w:val="16"/>
              </w:rPr>
              <w:t>FastAPI</w:t>
            </w:r>
          </w:p>
        </w:tc>
        <w:tc>
          <w:tcPr>
            <w:tcW w:type="dxa" w:w="5184"/>
            <w:vAlign w:val="center"/>
          </w:tcPr>
          <w:p>
            <w:pPr>
              <w:spacing w:after="20"/>
            </w:pPr>
            <w:r/>
            <w:r>
              <w:rPr>
                <w:rFonts w:ascii="Aptos" w:hAnsi="Aptos"/>
                <w:b w:val="0"/>
                <w:sz w:val="16"/>
              </w:rPr>
              <w:t>Separate inference service in a future architecture</w:t>
            </w:r>
          </w:p>
        </w:tc>
      </w:tr>
      <w:tr>
        <w:tc>
          <w:tcPr>
            <w:tcW w:type="dxa" w:w="1944"/>
            <w:vAlign w:val="center"/>
            <w:shd w:fill="F1F5F9"/>
          </w:tcPr>
          <w:p>
            <w:pPr>
              <w:spacing w:after="20"/>
            </w:pPr>
            <w:r/>
            <w:r>
              <w:rPr>
                <w:rFonts w:ascii="Aptos" w:hAnsi="Aptos"/>
                <w:b w:val="0"/>
                <w:sz w:val="16"/>
              </w:rPr>
              <w:t>Initial hosting</w:t>
            </w:r>
          </w:p>
        </w:tc>
        <w:tc>
          <w:tcPr>
            <w:tcW w:type="dxa" w:w="2592"/>
            <w:vAlign w:val="center"/>
            <w:shd w:fill="F1F5F9"/>
          </w:tcPr>
          <w:p>
            <w:pPr>
              <w:spacing w:after="20"/>
            </w:pPr>
            <w:r/>
            <w:r>
              <w:rPr>
                <w:rFonts w:ascii="Aptos" w:hAnsi="Aptos"/>
                <w:b w:val="0"/>
                <w:sz w:val="16"/>
              </w:rPr>
              <w:t>Streamlit Community Cloud</w:t>
            </w:r>
          </w:p>
        </w:tc>
        <w:tc>
          <w:tcPr>
            <w:tcW w:type="dxa" w:w="5184"/>
            <w:vAlign w:val="center"/>
            <w:shd w:fill="F1F5F9"/>
          </w:tcPr>
          <w:p>
            <w:pPr>
              <w:spacing w:after="20"/>
            </w:pPr>
            <w:r/>
            <w:r>
              <w:rPr>
                <w:rFonts w:ascii="Aptos" w:hAnsi="Aptos"/>
                <w:b w:val="0"/>
                <w:sz w:val="16"/>
              </w:rPr>
              <w:t>Managed deployment from a GitHub repository</w:t>
            </w:r>
          </w:p>
        </w:tc>
      </w:tr>
      <w:tr>
        <w:tc>
          <w:tcPr>
            <w:tcW w:type="dxa" w:w="1944"/>
            <w:vAlign w:val="center"/>
          </w:tcPr>
          <w:p>
            <w:pPr>
              <w:spacing w:after="20"/>
            </w:pPr>
            <w:r/>
            <w:r>
              <w:rPr>
                <w:rFonts w:ascii="Aptos" w:hAnsi="Aptos"/>
                <w:b w:val="0"/>
                <w:sz w:val="16"/>
              </w:rPr>
              <w:t>AWS hosting option</w:t>
            </w:r>
          </w:p>
        </w:tc>
        <w:tc>
          <w:tcPr>
            <w:tcW w:type="dxa" w:w="2592"/>
            <w:vAlign w:val="center"/>
          </w:tcPr>
          <w:p>
            <w:pPr>
              <w:spacing w:after="20"/>
            </w:pPr>
            <w:r/>
            <w:r>
              <w:rPr>
                <w:rFonts w:ascii="Aptos" w:hAnsi="Aptos"/>
                <w:b w:val="0"/>
                <w:sz w:val="16"/>
              </w:rPr>
              <w:t>Amazon EC2</w:t>
            </w:r>
          </w:p>
        </w:tc>
        <w:tc>
          <w:tcPr>
            <w:tcW w:type="dxa" w:w="5184"/>
            <w:vAlign w:val="center"/>
          </w:tcPr>
          <w:p>
            <w:pPr>
              <w:spacing w:after="20"/>
            </w:pPr>
            <w:r/>
            <w:r>
              <w:rPr>
                <w:rFonts w:ascii="Aptos" w:hAnsi="Aptos"/>
                <w:b w:val="0"/>
                <w:sz w:val="16"/>
              </w:rPr>
              <w:t>Run the Python application on a Linux virtual machine</w:t>
            </w:r>
          </w:p>
        </w:tc>
      </w:tr>
    </w:tbl>
    <w:p>
      <w:pPr>
        <w:spacing w:after="20"/>
      </w:pPr>
    </w:p>
    <w:p>
      <w:r>
        <w:t>PostgreSQL, other databases and containerization are not required for the initial version. The fitted model file is a model artifact, not a database of borrower requests.</w:t>
      </w:r>
    </w:p>
    <w:p>
      <w:pPr>
        <w:pStyle w:val="Heading1"/>
      </w:pPr>
      <w:r>
        <w:t>6. System Architecture</w:t>
      </w:r>
    </w:p>
    <w:p>
      <w:pPr>
        <w:spacing w:before="80" w:after="140"/>
        <w:ind w:left="259" w:right="259"/>
        <w:shd w:fill="F1F5F9"/>
      </w:pPr>
      <w:r>
        <w:rPr>
          <w:rFonts w:ascii="Consolas" w:hAnsi="Consolas"/>
          <w:color w:val="233241"/>
          <w:sz w:val="16"/>
        </w:rPr>
        <w:t>Public credit-risk dataset</w:t>
      </w:r>
      <w:r>
        <w:br/>
      </w:r>
      <w:r>
        <w:rPr>
          <w:rFonts w:ascii="Consolas" w:hAnsi="Consolas"/>
          <w:color w:val="233241"/>
          <w:sz w:val="16"/>
        </w:rPr>
        <w:t xml:space="preserve">          |</w:t>
      </w:r>
      <w:r>
        <w:br/>
      </w:r>
      <w:r>
        <w:rPr>
          <w:rFonts w:ascii="Consolas" w:hAnsi="Consolas"/>
          <w:color w:val="233241"/>
          <w:sz w:val="16"/>
        </w:rPr>
        <w:t xml:space="preserve">          v</w:t>
      </w:r>
      <w:r>
        <w:br/>
      </w:r>
      <w:r>
        <w:rPr>
          <w:rFonts w:ascii="Consolas" w:hAnsi="Consolas"/>
          <w:color w:val="233241"/>
          <w:sz w:val="16"/>
        </w:rPr>
        <w:t>Data audit and exploratory analysis</w:t>
      </w:r>
      <w:r>
        <w:br/>
      </w:r>
      <w:r>
        <w:rPr>
          <w:rFonts w:ascii="Consolas" w:hAnsi="Consolas"/>
          <w:color w:val="233241"/>
          <w:sz w:val="16"/>
        </w:rPr>
        <w:t xml:space="preserve">          |</w:t>
      </w:r>
      <w:r>
        <w:br/>
      </w:r>
      <w:r>
        <w:rPr>
          <w:rFonts w:ascii="Consolas" w:hAnsi="Consolas"/>
          <w:color w:val="233241"/>
          <w:sz w:val="16"/>
        </w:rPr>
        <w:t xml:space="preserve">          v</w:t>
      </w:r>
      <w:r>
        <w:br/>
      </w:r>
      <w:r>
        <w:rPr>
          <w:rFonts w:ascii="Consolas" w:hAnsi="Consolas"/>
          <w:color w:val="233241"/>
          <w:sz w:val="16"/>
        </w:rPr>
        <w:t>Feature engineering + preprocessing pipeline</w:t>
      </w:r>
      <w:r>
        <w:br/>
      </w:r>
      <w:r>
        <w:rPr>
          <w:rFonts w:ascii="Consolas" w:hAnsi="Consolas"/>
          <w:color w:val="233241"/>
          <w:sz w:val="16"/>
        </w:rPr>
        <w:t xml:space="preserve">          |</w:t>
      </w:r>
      <w:r>
        <w:br/>
      </w:r>
      <w:r>
        <w:rPr>
          <w:rFonts w:ascii="Consolas" w:hAnsi="Consolas"/>
          <w:color w:val="233241"/>
          <w:sz w:val="16"/>
        </w:rPr>
        <w:t xml:space="preserve">          v</w:t>
      </w:r>
      <w:r>
        <w:br/>
      </w:r>
      <w:r>
        <w:rPr>
          <w:rFonts w:ascii="Consolas" w:hAnsi="Consolas"/>
          <w:color w:val="233241"/>
          <w:sz w:val="16"/>
        </w:rPr>
        <w:t>Model training, validation and evaluation</w:t>
      </w:r>
      <w:r>
        <w:br/>
      </w:r>
      <w:r>
        <w:rPr>
          <w:rFonts w:ascii="Consolas" w:hAnsi="Consolas"/>
          <w:color w:val="233241"/>
          <w:sz w:val="16"/>
        </w:rPr>
        <w:t xml:space="preserve">          |</w:t>
      </w:r>
      <w:r>
        <w:br/>
      </w:r>
      <w:r>
        <w:rPr>
          <w:rFonts w:ascii="Consolas" w:hAnsi="Consolas"/>
          <w:color w:val="233241"/>
          <w:sz w:val="16"/>
        </w:rPr>
        <w:t xml:space="preserve">          v</w:t>
      </w:r>
      <w:r>
        <w:br/>
      </w:r>
      <w:r>
        <w:rPr>
          <w:rFonts w:ascii="Consolas" w:hAnsi="Consolas"/>
          <w:color w:val="233241"/>
          <w:sz w:val="16"/>
        </w:rPr>
        <w:t>Saved fitted pipeline (models/credit_risk_model.joblib)</w:t>
      </w:r>
      <w:r>
        <w:br/>
      </w:r>
      <w:r>
        <w:rPr>
          <w:rFonts w:ascii="Consolas" w:hAnsi="Consolas"/>
          <w:color w:val="233241"/>
          <w:sz w:val="16"/>
        </w:rPr>
        <w:t xml:space="preserve">          |</w:t>
      </w:r>
      <w:r>
        <w:br/>
      </w:r>
      <w:r>
        <w:rPr>
          <w:rFonts w:ascii="Consolas" w:hAnsi="Consolas"/>
          <w:color w:val="233241"/>
          <w:sz w:val="16"/>
        </w:rPr>
        <w:t xml:space="preserve">          v</w:t>
      </w:r>
      <w:r>
        <w:br/>
      </w:r>
      <w:r>
        <w:rPr>
          <w:rFonts w:ascii="Consolas" w:hAnsi="Consolas"/>
          <w:color w:val="233241"/>
          <w:sz w:val="16"/>
        </w:rPr>
        <w:t>Streamlit application</w:t>
      </w:r>
      <w:r>
        <w:br/>
      </w:r>
      <w:r>
        <w:rPr>
          <w:rFonts w:ascii="Consolas" w:hAnsi="Consolas"/>
          <w:color w:val="233241"/>
          <w:sz w:val="16"/>
        </w:rPr>
        <w:t xml:space="preserve">  |          |             |              |</w:t>
      </w:r>
      <w:r>
        <w:br/>
      </w:r>
      <w:r>
        <w:rPr>
          <w:rFonts w:ascii="Consolas" w:hAnsi="Consolas"/>
          <w:color w:val="233241"/>
          <w:sz w:val="16"/>
        </w:rPr>
        <w:t>Portfolio  Borrower     Model          Loss-scenario</w:t>
      </w:r>
      <w:r>
        <w:br/>
      </w:r>
      <w:r>
        <w:rPr>
          <w:rFonts w:ascii="Consolas" w:hAnsi="Consolas"/>
          <w:color w:val="233241"/>
          <w:sz w:val="16"/>
        </w:rPr>
        <w:t>analytics  assessment   performance    analysis</w:t>
      </w:r>
    </w:p>
    <w:p>
      <w:r>
        <w:t>Keep reusable data preparation and prediction logic in Python modules under src/. Notebooks are for experimentation and analysis; the deployed application should import tested functions rather than depend on running notebooks.</w:t>
      </w:r>
    </w:p>
    <w:p>
      <w:r>
        <w:t>For the initial version, Streamlit loads the saved model and calls the prediction module directly. If a separate API is introduced later, FastAPI can expose health and prediction endpoints while Streamlit acts as the client.</w:t>
      </w:r>
    </w:p>
    <w:p>
      <w:pPr>
        <w:pStyle w:val="Heading1"/>
      </w:pPr>
      <w:r>
        <w:t>7. Repository Structure</w:t>
      </w:r>
    </w:p>
    <w:p>
      <w:pPr>
        <w:spacing w:before="80" w:after="140"/>
        <w:ind w:left="259" w:right="259"/>
        <w:shd w:fill="F1F5F9"/>
      </w:pPr>
      <w:r>
        <w:rPr>
          <w:rFonts w:ascii="Consolas" w:hAnsi="Consolas"/>
          <w:color w:val="233241"/>
          <w:sz w:val="16"/>
        </w:rPr>
        <w:t>finsight-ai/</w:t>
      </w:r>
      <w:r>
        <w:br/>
      </w:r>
      <w:r>
        <w:rPr>
          <w:rFonts w:ascii="Consolas" w:hAnsi="Consolas"/>
          <w:color w:val="233241"/>
          <w:sz w:val="16"/>
        </w:rPr>
        <w:t>├── data/</w:t>
      </w:r>
      <w:r>
        <w:br/>
      </w:r>
      <w:r>
        <w:rPr>
          <w:rFonts w:ascii="Consolas" w:hAnsi="Consolas"/>
          <w:color w:val="233241"/>
          <w:sz w:val="16"/>
        </w:rPr>
        <w:t>│   └── raw/</w:t>
      </w:r>
      <w:r>
        <w:br/>
      </w:r>
      <w:r>
        <w:rPr>
          <w:rFonts w:ascii="Consolas" w:hAnsi="Consolas"/>
          <w:color w:val="233241"/>
          <w:sz w:val="16"/>
        </w:rPr>
        <w:t>├── notebooks/</w:t>
      </w:r>
      <w:r>
        <w:br/>
      </w:r>
      <w:r>
        <w:rPr>
          <w:rFonts w:ascii="Consolas" w:hAnsi="Consolas"/>
          <w:color w:val="233241"/>
          <w:sz w:val="16"/>
        </w:rPr>
        <w:t>│   ├── 01_data_understanding.ipynb</w:t>
      </w:r>
      <w:r>
        <w:br/>
      </w:r>
      <w:r>
        <w:rPr>
          <w:rFonts w:ascii="Consolas" w:hAnsi="Consolas"/>
          <w:color w:val="233241"/>
          <w:sz w:val="16"/>
        </w:rPr>
        <w:t>│   ├── 02_credit_risk_eda.ipynb</w:t>
      </w:r>
      <w:r>
        <w:br/>
      </w:r>
      <w:r>
        <w:rPr>
          <w:rFonts w:ascii="Consolas" w:hAnsi="Consolas"/>
          <w:color w:val="233241"/>
          <w:sz w:val="16"/>
        </w:rPr>
        <w:t>│   ├── 03_feature_engineering.ipynb</w:t>
      </w:r>
      <w:r>
        <w:br/>
      </w:r>
      <w:r>
        <w:rPr>
          <w:rFonts w:ascii="Consolas" w:hAnsi="Consolas"/>
          <w:color w:val="233241"/>
          <w:sz w:val="16"/>
        </w:rPr>
        <w:t>│   ├── 04_anomaly_detection.ipynb</w:t>
      </w:r>
      <w:r>
        <w:br/>
      </w:r>
      <w:r>
        <w:rPr>
          <w:rFonts w:ascii="Consolas" w:hAnsi="Consolas"/>
          <w:color w:val="233241"/>
          <w:sz w:val="16"/>
        </w:rPr>
        <w:t>│   └── 05_supervised_modeling.ipynb</w:t>
      </w:r>
      <w:r>
        <w:br/>
      </w:r>
      <w:r>
        <w:rPr>
          <w:rFonts w:ascii="Consolas" w:hAnsi="Consolas"/>
          <w:color w:val="233241"/>
          <w:sz w:val="16"/>
        </w:rPr>
        <w:t>├── src/</w:t>
      </w:r>
      <w:r>
        <w:br/>
      </w:r>
      <w:r>
        <w:rPr>
          <w:rFonts w:ascii="Consolas" w:hAnsi="Consolas"/>
          <w:color w:val="233241"/>
          <w:sz w:val="16"/>
        </w:rPr>
        <w:t>│   ├── preprocessing.py</w:t>
      </w:r>
      <w:r>
        <w:br/>
      </w:r>
      <w:r>
        <w:rPr>
          <w:rFonts w:ascii="Consolas" w:hAnsi="Consolas"/>
          <w:color w:val="233241"/>
          <w:sz w:val="16"/>
        </w:rPr>
        <w:t>│   ├── train.py</w:t>
      </w:r>
      <w:r>
        <w:br/>
      </w:r>
      <w:r>
        <w:rPr>
          <w:rFonts w:ascii="Consolas" w:hAnsi="Consolas"/>
          <w:color w:val="233241"/>
          <w:sz w:val="16"/>
        </w:rPr>
        <w:t>│   ├── predict.py</w:t>
      </w:r>
      <w:r>
        <w:br/>
      </w:r>
      <w:r>
        <w:rPr>
          <w:rFonts w:ascii="Consolas" w:hAnsi="Consolas"/>
          <w:color w:val="233241"/>
          <w:sz w:val="16"/>
        </w:rPr>
        <w:t>│   └── risk_analytics.py</w:t>
      </w:r>
      <w:r>
        <w:br/>
      </w:r>
      <w:r>
        <w:rPr>
          <w:rFonts w:ascii="Consolas" w:hAnsi="Consolas"/>
          <w:color w:val="233241"/>
          <w:sz w:val="16"/>
        </w:rPr>
        <w:t>├── models/</w:t>
      </w:r>
      <w:r>
        <w:br/>
      </w:r>
      <w:r>
        <w:rPr>
          <w:rFonts w:ascii="Consolas" w:hAnsi="Consolas"/>
          <w:color w:val="233241"/>
          <w:sz w:val="16"/>
        </w:rPr>
        <w:t>│   └── credit_risk_model.joblib</w:t>
      </w:r>
      <w:r>
        <w:br/>
      </w:r>
      <w:r>
        <w:rPr>
          <w:rFonts w:ascii="Consolas" w:hAnsi="Consolas"/>
          <w:color w:val="233241"/>
          <w:sz w:val="16"/>
        </w:rPr>
        <w:t>├── frontend/</w:t>
      </w:r>
      <w:r>
        <w:br/>
      </w:r>
      <w:r>
        <w:rPr>
          <w:rFonts w:ascii="Consolas" w:hAnsi="Consolas"/>
          <w:color w:val="233241"/>
          <w:sz w:val="16"/>
        </w:rPr>
        <w:t>│   └── app.py</w:t>
      </w:r>
      <w:r>
        <w:br/>
      </w:r>
      <w:r>
        <w:rPr>
          <w:rFonts w:ascii="Consolas" w:hAnsi="Consolas"/>
          <w:color w:val="233241"/>
          <w:sz w:val="16"/>
        </w:rPr>
        <w:t>├── reports/</w:t>
      </w:r>
      <w:r>
        <w:br/>
      </w:r>
      <w:r>
        <w:rPr>
          <w:rFonts w:ascii="Consolas" w:hAnsi="Consolas"/>
          <w:color w:val="233241"/>
          <w:sz w:val="16"/>
        </w:rPr>
        <w:t>│   └── model_evaluation.md</w:t>
      </w:r>
      <w:r>
        <w:br/>
      </w:r>
      <w:r>
        <w:rPr>
          <w:rFonts w:ascii="Consolas" w:hAnsi="Consolas"/>
          <w:color w:val="233241"/>
          <w:sz w:val="16"/>
        </w:rPr>
        <w:t>├── tests/</w:t>
      </w:r>
      <w:r>
        <w:br/>
      </w:r>
      <w:r>
        <w:rPr>
          <w:rFonts w:ascii="Consolas" w:hAnsi="Consolas"/>
          <w:color w:val="233241"/>
          <w:sz w:val="16"/>
        </w:rPr>
        <w:t>│   └── test_predictions.py</w:t>
      </w:r>
      <w:r>
        <w:br/>
      </w:r>
      <w:r>
        <w:rPr>
          <w:rFonts w:ascii="Consolas" w:hAnsi="Consolas"/>
          <w:color w:val="233241"/>
          <w:sz w:val="16"/>
        </w:rPr>
        <w:t>├── requirements.txt</w:t>
      </w:r>
      <w:r>
        <w:br/>
      </w:r>
      <w:r>
        <w:rPr>
          <w:rFonts w:ascii="Consolas" w:hAnsi="Consolas"/>
          <w:color w:val="233241"/>
          <w:sz w:val="16"/>
        </w:rPr>
        <w:t>├── .gitignore</w:t>
      </w:r>
      <w:r>
        <w:br/>
      </w:r>
      <w:r>
        <w:rPr>
          <w:rFonts w:ascii="Consolas" w:hAnsi="Consolas"/>
          <w:color w:val="233241"/>
          <w:sz w:val="16"/>
        </w:rPr>
        <w:t>└── README.md</w:t>
      </w:r>
    </w:p>
    <w:p>
      <w:r>
        <w:t>Use relative paths based on the project root or a reliable project-path helper. Do not rely on machine-specific absolute paths. If the model artifact is too large for the hosting platform or repository limits, use an appropriate artifact-hosting option and document the retrieval process.</w:t>
      </w:r>
    </w:p>
    <w:p>
      <w:pPr>
        <w:pStyle w:val="Heading1"/>
      </w:pPr>
      <w:r>
        <w:t>8. Notebook-by-Notebook Workflow</w:t>
      </w:r>
    </w:p>
    <w:p>
      <w:pPr>
        <w:pStyle w:val="Heading2"/>
      </w:pPr>
      <w:r>
        <w:t>Notebook 1 — Data Understanding</w:t>
      </w:r>
    </w:p>
    <w:p>
      <w:pPr>
        <w:pStyle w:val="ListBullet"/>
        <w:spacing w:after="40"/>
      </w:pPr>
      <w:r>
        <w:t>Load the dataset and inspect shape, sample rows, column names and data types.</w:t>
      </w:r>
    </w:p>
    <w:p>
      <w:pPr>
        <w:pStyle w:val="ListBullet"/>
        <w:spacing w:after="40"/>
      </w:pPr>
      <w:r>
        <w:t>Review summary statistics, unique values, missingness and duplicate records.</w:t>
      </w:r>
    </w:p>
    <w:p>
      <w:pPr>
        <w:pStyle w:val="ListBullet"/>
        <w:spacing w:after="40"/>
      </w:pPr>
      <w:r>
        <w:t>Define the target precisely and calculate its class distribution.</w:t>
      </w:r>
    </w:p>
    <w:p>
      <w:pPr>
        <w:pStyle w:val="ListBullet"/>
        <w:spacing w:after="40"/>
      </w:pPr>
      <w:r>
        <w:t>Identify invalid values, potential identifiers and columns that could leak the target.</w:t>
      </w:r>
    </w:p>
    <w:p>
      <w:pPr>
        <w:pStyle w:val="ListBullet"/>
        <w:spacing w:after="40"/>
      </w:pPr>
      <w:r>
        <w:t>Produce a concise data-quality report with documented decisions.</w:t>
      </w:r>
    </w:p>
    <w:p>
      <w:pPr>
        <w:pStyle w:val="Heading2"/>
      </w:pPr>
      <w:r>
        <w:t>Notebook 2 — Credit Risk EDA</w:t>
      </w:r>
    </w:p>
    <w:p>
      <w:pPr>
        <w:pStyle w:val="ListBullet"/>
        <w:spacing w:after="40"/>
      </w:pPr>
      <w:r>
        <w:t>Visualize numerical-feature distributions and investigate outliers.</w:t>
      </w:r>
    </w:p>
    <w:p>
      <w:pPr>
        <w:pStyle w:val="ListBullet"/>
        <w:spacing w:after="40"/>
      </w:pPr>
      <w:r>
        <w:t>Compare feature distributions between target classes.</w:t>
      </w:r>
    </w:p>
    <w:p>
      <w:pPr>
        <w:pStyle w:val="ListBullet"/>
        <w:spacing w:after="40"/>
      </w:pPr>
      <w:r>
        <w:t>Examine relationships between debt burden, income, credit-history variables and delinquency.</w:t>
      </w:r>
    </w:p>
    <w:p>
      <w:pPr>
        <w:pStyle w:val="ListBullet"/>
        <w:spacing w:after="40"/>
      </w:pPr>
      <w:r>
        <w:t>Analyze target imbalance and identify segments with different observed outcome rates.</w:t>
      </w:r>
    </w:p>
    <w:p>
      <w:pPr>
        <w:pStyle w:val="ListBullet"/>
        <w:spacing w:after="40"/>
      </w:pPr>
      <w:r>
        <w:t>Use plots to formulate hypotheses, not to claim causal effects.</w:t>
      </w:r>
    </w:p>
    <w:p>
      <w:pPr>
        <w:pStyle w:val="Heading2"/>
      </w:pPr>
      <w:r>
        <w:t>Notebook 3 — Feature Engineering</w:t>
      </w:r>
    </w:p>
    <w:p>
      <w:pPr>
        <w:pStyle w:val="ListBullet"/>
        <w:spacing w:after="40"/>
      </w:pPr>
      <w:r>
        <w:t>Create only features with a clear definition and available input fields.</w:t>
      </w:r>
    </w:p>
    <w:p>
      <w:pPr>
        <w:pStyle w:val="ListBullet"/>
        <w:spacing w:after="40"/>
      </w:pPr>
      <w:r>
        <w:t>Consider interpretable ratios such as debt-to-income when the dataset provides suitable, correctly defined inputs.</w:t>
      </w:r>
    </w:p>
    <w:p>
      <w:pPr>
        <w:pStyle w:val="ListBullet"/>
        <w:spacing w:after="40"/>
      </w:pPr>
      <w:r>
        <w:t>Handle missing values and categorical variables using train-fitted transformers.</w:t>
      </w:r>
    </w:p>
    <w:p>
      <w:pPr>
        <w:pStyle w:val="ListBullet"/>
        <w:spacing w:after="40"/>
      </w:pPr>
      <w:r>
        <w:t>Use scikit-learn Pipeline and ColumnTransformer where appropriate.</w:t>
      </w:r>
    </w:p>
    <w:p>
      <w:pPr>
        <w:pStyle w:val="ListBullet"/>
        <w:spacing w:after="40"/>
      </w:pPr>
      <w:r>
        <w:t>Split data before fitting transformations to prevent leakage.</w:t>
      </w:r>
    </w:p>
    <w:p>
      <w:pPr>
        <w:pStyle w:val="Heading2"/>
      </w:pPr>
      <w:r>
        <w:t>Notebook 4 — Anomaly Detection</w:t>
      </w:r>
    </w:p>
    <w:p>
      <w:pPr>
        <w:pStyle w:val="ListBullet"/>
        <w:spacing w:after="40"/>
      </w:pPr>
      <w:r>
        <w:t>Explore an Isolation Forest or another suitable unsupervised method if it adds analytical value.</w:t>
      </w:r>
    </w:p>
    <w:p>
      <w:pPr>
        <w:pStyle w:val="ListBullet"/>
        <w:spacing w:after="40"/>
      </w:pPr>
      <w:r>
        <w:t>Inspect unusual profiles and compare them with domain expectations.</w:t>
      </w:r>
    </w:p>
    <w:p>
      <w:pPr>
        <w:pStyle w:val="ListBullet"/>
        <w:spacing w:after="40"/>
      </w:pPr>
      <w:r>
        <w:t>Do not equate an anomaly score with delinquency probability or fraud.</w:t>
      </w:r>
    </w:p>
    <w:p>
      <w:pPr>
        <w:pStyle w:val="ListBullet"/>
        <w:spacing w:after="40"/>
      </w:pPr>
      <w:r>
        <w:t>Keep this module exploratory unless validation demonstrates that it improves the intended task.</w:t>
      </w:r>
    </w:p>
    <w:p>
      <w:pPr>
        <w:pStyle w:val="Heading2"/>
      </w:pPr>
      <w:r>
        <w:t>Notebook 5 — Supervised Modeling</w:t>
      </w:r>
    </w:p>
    <w:p>
      <w:pPr>
        <w:pStyle w:val="ListBullet"/>
        <w:spacing w:after="40"/>
      </w:pPr>
      <w:r>
        <w:t>Create reproducible train, validation and test splits; use stratification when appropriate.</w:t>
      </w:r>
    </w:p>
    <w:p>
      <w:pPr>
        <w:pStyle w:val="ListBullet"/>
        <w:spacing w:after="40"/>
      </w:pPr>
      <w:r>
        <w:t>Train Logistic Regression as an interpretable baseline.</w:t>
      </w:r>
    </w:p>
    <w:p>
      <w:pPr>
        <w:pStyle w:val="ListBullet"/>
        <w:spacing w:after="40"/>
      </w:pPr>
      <w:r>
        <w:t>Compare Random Forest and XGBoost when suitable for the dataset and deployment environment.</w:t>
      </w:r>
    </w:p>
    <w:p>
      <w:pPr>
        <w:pStyle w:val="ListBullet"/>
        <w:spacing w:after="40"/>
      </w:pPr>
      <w:r>
        <w:t>Tune hyperparameters on training/validation data, not on the held-out test set.</w:t>
      </w:r>
    </w:p>
    <w:p>
      <w:pPr>
        <w:pStyle w:val="ListBullet"/>
        <w:spacing w:after="40"/>
      </w:pPr>
      <w:r>
        <w:t>Evaluate discrimination, threshold trade-offs and probability calibration.</w:t>
      </w:r>
    </w:p>
    <w:p>
      <w:pPr>
        <w:pStyle w:val="ListBullet"/>
        <w:spacing w:after="40"/>
      </w:pPr>
      <w:r>
        <w:t>Explain model behavior and save the selected fitted pipeline.</w:t>
      </w:r>
    </w:p>
    <w:p>
      <w:pPr>
        <w:pStyle w:val="Heading1"/>
      </w:pPr>
      <w:r>
        <w:t>9. Machine Learning Methodology</w:t>
      </w:r>
    </w:p>
    <w:p>
      <w:pPr>
        <w:pStyle w:val="Heading2"/>
      </w:pPr>
      <w:r>
        <w:t>Model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23052"/>
          </w:tcPr>
          <w:p>
            <w:pPr>
              <w:spacing w:after="20"/>
            </w:pPr>
            <w:r/>
            <w:r>
              <w:rPr>
                <w:rFonts w:ascii="Aptos" w:hAnsi="Aptos"/>
                <w:b/>
                <w:color w:val="FFFFFF"/>
                <w:sz w:val="17"/>
              </w:rPr>
              <w:t>Model</w:t>
            </w:r>
          </w:p>
        </w:tc>
        <w:tc>
          <w:tcPr>
            <w:tcW w:type="dxa" w:w="3672"/>
            <w:vAlign w:val="center"/>
            <w:shd w:fill="123052"/>
          </w:tcPr>
          <w:p>
            <w:pPr>
              <w:spacing w:after="20"/>
            </w:pPr>
            <w:r/>
            <w:r>
              <w:rPr>
                <w:rFonts w:ascii="Aptos" w:hAnsi="Aptos"/>
                <w:b/>
                <w:color w:val="FFFFFF"/>
                <w:sz w:val="17"/>
              </w:rPr>
              <w:t>Why include it</w:t>
            </w:r>
          </w:p>
        </w:tc>
        <w:tc>
          <w:tcPr>
            <w:tcW w:type="dxa" w:w="3960"/>
            <w:vAlign w:val="center"/>
            <w:shd w:fill="123052"/>
          </w:tcPr>
          <w:p>
            <w:pPr>
              <w:spacing w:after="20"/>
            </w:pPr>
            <w:r/>
            <w:r>
              <w:rPr>
                <w:rFonts w:ascii="Aptos" w:hAnsi="Aptos"/>
                <w:b/>
                <w:color w:val="FFFFFF"/>
                <w:sz w:val="17"/>
              </w:rPr>
              <w:t>Points to discuss</w:t>
            </w:r>
          </w:p>
        </w:tc>
      </w:tr>
      <w:tr>
        <w:tc>
          <w:tcPr>
            <w:tcW w:type="dxa" w:w="2088"/>
            <w:vAlign w:val="center"/>
          </w:tcPr>
          <w:p>
            <w:pPr>
              <w:spacing w:after="20"/>
            </w:pPr>
            <w:r/>
            <w:r>
              <w:rPr>
                <w:rFonts w:ascii="Aptos" w:hAnsi="Aptos"/>
                <w:b w:val="0"/>
                <w:sz w:val="16"/>
              </w:rPr>
              <w:t>Logistic Regression</w:t>
            </w:r>
          </w:p>
        </w:tc>
        <w:tc>
          <w:tcPr>
            <w:tcW w:type="dxa" w:w="3672"/>
            <w:vAlign w:val="center"/>
          </w:tcPr>
          <w:p>
            <w:pPr>
              <w:spacing w:after="20"/>
            </w:pPr>
            <w:r/>
            <w:r>
              <w:rPr>
                <w:rFonts w:ascii="Aptos" w:hAnsi="Aptos"/>
                <w:b w:val="0"/>
                <w:sz w:val="16"/>
              </w:rPr>
              <w:t>Interpretable baseline and probability model</w:t>
            </w:r>
          </w:p>
        </w:tc>
        <w:tc>
          <w:tcPr>
            <w:tcW w:type="dxa" w:w="3960"/>
            <w:vAlign w:val="center"/>
          </w:tcPr>
          <w:p>
            <w:pPr>
              <w:spacing w:after="20"/>
            </w:pPr>
            <w:r/>
            <w:r>
              <w:rPr>
                <w:rFonts w:ascii="Aptos" w:hAnsi="Aptos"/>
                <w:b w:val="0"/>
                <w:sz w:val="16"/>
              </w:rPr>
              <w:t>Coefficients, regularization, scaling and calibration</w:t>
            </w:r>
          </w:p>
        </w:tc>
      </w:tr>
      <w:tr>
        <w:tc>
          <w:tcPr>
            <w:tcW w:type="dxa" w:w="2088"/>
            <w:vAlign w:val="center"/>
            <w:shd w:fill="F1F5F9"/>
          </w:tcPr>
          <w:p>
            <w:pPr>
              <w:spacing w:after="20"/>
            </w:pPr>
            <w:r/>
            <w:r>
              <w:rPr>
                <w:rFonts w:ascii="Aptos" w:hAnsi="Aptos"/>
                <w:b w:val="0"/>
                <w:sz w:val="16"/>
              </w:rPr>
              <w:t>Random Forest</w:t>
            </w:r>
          </w:p>
        </w:tc>
        <w:tc>
          <w:tcPr>
            <w:tcW w:type="dxa" w:w="3672"/>
            <w:vAlign w:val="center"/>
            <w:shd w:fill="F1F5F9"/>
          </w:tcPr>
          <w:p>
            <w:pPr>
              <w:spacing w:after="20"/>
            </w:pPr>
            <w:r/>
            <w:r>
              <w:rPr>
                <w:rFonts w:ascii="Aptos" w:hAnsi="Aptos"/>
                <w:b w:val="0"/>
                <w:sz w:val="16"/>
              </w:rPr>
              <w:t>Captures nonlinear relationships and interactions</w:t>
            </w:r>
          </w:p>
        </w:tc>
        <w:tc>
          <w:tcPr>
            <w:tcW w:type="dxa" w:w="3960"/>
            <w:vAlign w:val="center"/>
            <w:shd w:fill="F1F5F9"/>
          </w:tcPr>
          <w:p>
            <w:pPr>
              <w:spacing w:after="20"/>
            </w:pPr>
            <w:r/>
            <w:r>
              <w:rPr>
                <w:rFonts w:ascii="Aptos" w:hAnsi="Aptos"/>
                <w:b w:val="0"/>
                <w:sz w:val="16"/>
              </w:rPr>
              <w:t>Generalization, feature importance limitations and model complexity</w:t>
            </w:r>
          </w:p>
        </w:tc>
      </w:tr>
      <w:tr>
        <w:tc>
          <w:tcPr>
            <w:tcW w:type="dxa" w:w="2088"/>
            <w:vAlign w:val="center"/>
          </w:tcPr>
          <w:p>
            <w:pPr>
              <w:spacing w:after="20"/>
            </w:pPr>
            <w:r/>
            <w:r>
              <w:rPr>
                <w:rFonts w:ascii="Aptos" w:hAnsi="Aptos"/>
                <w:b w:val="0"/>
                <w:sz w:val="16"/>
              </w:rPr>
              <w:t>XGBoost</w:t>
            </w:r>
          </w:p>
        </w:tc>
        <w:tc>
          <w:tcPr>
            <w:tcW w:type="dxa" w:w="3672"/>
            <w:vAlign w:val="center"/>
          </w:tcPr>
          <w:p>
            <w:pPr>
              <w:spacing w:after="20"/>
            </w:pPr>
            <w:r/>
            <w:r>
              <w:rPr>
                <w:rFonts w:ascii="Aptos" w:hAnsi="Aptos"/>
                <w:b w:val="0"/>
                <w:sz w:val="16"/>
              </w:rPr>
              <w:t>Strong candidate for structured tabular data</w:t>
            </w:r>
          </w:p>
        </w:tc>
        <w:tc>
          <w:tcPr>
            <w:tcW w:type="dxa" w:w="3960"/>
            <w:vAlign w:val="center"/>
          </w:tcPr>
          <w:p>
            <w:pPr>
              <w:spacing w:after="20"/>
            </w:pPr>
            <w:r/>
            <w:r>
              <w:rPr>
                <w:rFonts w:ascii="Aptos" w:hAnsi="Aptos"/>
                <w:b w:val="0"/>
                <w:sz w:val="16"/>
              </w:rPr>
              <w:t>Hyperparameters, class imbalance handling and overfitting</w:t>
            </w:r>
          </w:p>
        </w:tc>
      </w:tr>
    </w:tbl>
    <w:p>
      <w:pPr>
        <w:spacing w:after="20"/>
      </w:pPr>
    </w:p>
    <w:p>
      <w:pPr>
        <w:pStyle w:val="Heading2"/>
      </w:pPr>
      <w:r>
        <w:t>Evaluation metrics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23052"/>
          </w:tcPr>
          <w:p>
            <w:pPr>
              <w:spacing w:after="20"/>
            </w:pPr>
            <w:r/>
            <w:r>
              <w:rPr>
                <w:rFonts w:ascii="Aptos" w:hAnsi="Aptos"/>
                <w:b/>
                <w:color w:val="FFFFFF"/>
                <w:sz w:val="17"/>
              </w:rPr>
              <w:t>Metric</w:t>
            </w:r>
          </w:p>
        </w:tc>
        <w:tc>
          <w:tcPr>
            <w:tcW w:type="dxa" w:w="3960"/>
            <w:vAlign w:val="center"/>
            <w:shd w:fill="123052"/>
          </w:tcPr>
          <w:p>
            <w:pPr>
              <w:spacing w:after="20"/>
            </w:pPr>
            <w:r/>
            <w:r>
              <w:rPr>
                <w:rFonts w:ascii="Aptos" w:hAnsi="Aptos"/>
                <w:b/>
                <w:color w:val="FFFFFF"/>
                <w:sz w:val="17"/>
              </w:rPr>
              <w:t>Interpretation</w:t>
            </w:r>
          </w:p>
        </w:tc>
        <w:tc>
          <w:tcPr>
            <w:tcW w:type="dxa" w:w="3600"/>
            <w:vAlign w:val="center"/>
            <w:shd w:fill="123052"/>
          </w:tcPr>
          <w:p>
            <w:pPr>
              <w:spacing w:after="20"/>
            </w:pPr>
            <w:r/>
            <w:r>
              <w:rPr>
                <w:rFonts w:ascii="Aptos" w:hAnsi="Aptos"/>
                <w:b/>
                <w:color w:val="FFFFFF"/>
                <w:sz w:val="17"/>
              </w:rPr>
              <w:t>Caution</w:t>
            </w:r>
          </w:p>
        </w:tc>
      </w:tr>
      <w:tr>
        <w:tc>
          <w:tcPr>
            <w:tcW w:type="dxa" w:w="2160"/>
            <w:vAlign w:val="center"/>
          </w:tcPr>
          <w:p>
            <w:pPr>
              <w:spacing w:after="20"/>
            </w:pPr>
            <w:r/>
            <w:r>
              <w:rPr>
                <w:rFonts w:ascii="Aptos" w:hAnsi="Aptos"/>
                <w:b w:val="0"/>
                <w:sz w:val="16"/>
              </w:rPr>
              <w:t>ROC-AUC</w:t>
            </w:r>
          </w:p>
        </w:tc>
        <w:tc>
          <w:tcPr>
            <w:tcW w:type="dxa" w:w="3960"/>
            <w:vAlign w:val="center"/>
          </w:tcPr>
          <w:p>
            <w:pPr>
              <w:spacing w:after="20"/>
            </w:pPr>
            <w:r/>
            <w:r>
              <w:rPr>
                <w:rFonts w:ascii="Aptos" w:hAnsi="Aptos"/>
                <w:b w:val="0"/>
                <w:sz w:val="16"/>
              </w:rPr>
              <w:t>Ranking performance across thresholds</w:t>
            </w:r>
          </w:p>
        </w:tc>
        <w:tc>
          <w:tcPr>
            <w:tcW w:type="dxa" w:w="3600"/>
            <w:vAlign w:val="center"/>
          </w:tcPr>
          <w:p>
            <w:pPr>
              <w:spacing w:after="20"/>
            </w:pPr>
            <w:r/>
            <w:r>
              <w:rPr>
                <w:rFonts w:ascii="Aptos" w:hAnsi="Aptos"/>
                <w:b w:val="0"/>
                <w:sz w:val="16"/>
              </w:rPr>
              <w:t>Can look strong on heavily imbalanced data even when precision is low</w:t>
            </w:r>
          </w:p>
        </w:tc>
      </w:tr>
      <w:tr>
        <w:tc>
          <w:tcPr>
            <w:tcW w:type="dxa" w:w="2160"/>
            <w:vAlign w:val="center"/>
            <w:shd w:fill="F1F5F9"/>
          </w:tcPr>
          <w:p>
            <w:pPr>
              <w:spacing w:after="20"/>
            </w:pPr>
            <w:r/>
            <w:r>
              <w:rPr>
                <w:rFonts w:ascii="Aptos" w:hAnsi="Aptos"/>
                <w:b w:val="0"/>
                <w:sz w:val="16"/>
              </w:rPr>
              <w:t>PR-AUC</w:t>
            </w:r>
          </w:p>
        </w:tc>
        <w:tc>
          <w:tcPr>
            <w:tcW w:type="dxa" w:w="3960"/>
            <w:vAlign w:val="center"/>
            <w:shd w:fill="F1F5F9"/>
          </w:tcPr>
          <w:p>
            <w:pPr>
              <w:spacing w:after="20"/>
            </w:pPr>
            <w:r/>
            <w:r>
              <w:rPr>
                <w:rFonts w:ascii="Aptos" w:hAnsi="Aptos"/>
                <w:b w:val="0"/>
                <w:sz w:val="16"/>
              </w:rPr>
              <w:t>Precision-recall trade-off for the positive class</w:t>
            </w:r>
          </w:p>
        </w:tc>
        <w:tc>
          <w:tcPr>
            <w:tcW w:type="dxa" w:w="3600"/>
            <w:vAlign w:val="center"/>
            <w:shd w:fill="F1F5F9"/>
          </w:tcPr>
          <w:p>
            <w:pPr>
              <w:spacing w:after="20"/>
            </w:pPr>
            <w:r/>
            <w:r>
              <w:rPr>
                <w:rFonts w:ascii="Aptos" w:hAnsi="Aptos"/>
                <w:b w:val="0"/>
                <w:sz w:val="16"/>
              </w:rPr>
              <w:t>Compare against the positive-class prevalence baseline</w:t>
            </w:r>
          </w:p>
        </w:tc>
      </w:tr>
      <w:tr>
        <w:tc>
          <w:tcPr>
            <w:tcW w:type="dxa" w:w="2160"/>
            <w:vAlign w:val="center"/>
          </w:tcPr>
          <w:p>
            <w:pPr>
              <w:spacing w:after="20"/>
            </w:pPr>
            <w:r/>
            <w:r>
              <w:rPr>
                <w:rFonts w:ascii="Aptos" w:hAnsi="Aptos"/>
                <w:b w:val="0"/>
                <w:sz w:val="16"/>
              </w:rPr>
              <w:t>Precision</w:t>
            </w:r>
          </w:p>
        </w:tc>
        <w:tc>
          <w:tcPr>
            <w:tcW w:type="dxa" w:w="3960"/>
            <w:vAlign w:val="center"/>
          </w:tcPr>
          <w:p>
            <w:pPr>
              <w:spacing w:after="20"/>
            </w:pPr>
            <w:r/>
            <w:r>
              <w:rPr>
                <w:rFonts w:ascii="Aptos" w:hAnsi="Aptos"/>
                <w:b w:val="0"/>
                <w:sz w:val="16"/>
              </w:rPr>
              <w:t>Fraction of predicted positives that are positive</w:t>
            </w:r>
          </w:p>
        </w:tc>
        <w:tc>
          <w:tcPr>
            <w:tcW w:type="dxa" w:w="3600"/>
            <w:vAlign w:val="center"/>
          </w:tcPr>
          <w:p>
            <w:pPr>
              <w:spacing w:after="20"/>
            </w:pPr>
            <w:r/>
            <w:r>
              <w:rPr>
                <w:rFonts w:ascii="Aptos" w:hAnsi="Aptos"/>
                <w:b w:val="0"/>
                <w:sz w:val="16"/>
              </w:rPr>
              <w:t>Low precision may create unnecessary review workload</w:t>
            </w:r>
          </w:p>
        </w:tc>
      </w:tr>
      <w:tr>
        <w:tc>
          <w:tcPr>
            <w:tcW w:type="dxa" w:w="2160"/>
            <w:vAlign w:val="center"/>
            <w:shd w:fill="F1F5F9"/>
          </w:tcPr>
          <w:p>
            <w:pPr>
              <w:spacing w:after="20"/>
            </w:pPr>
            <w:r/>
            <w:r>
              <w:rPr>
                <w:rFonts w:ascii="Aptos" w:hAnsi="Aptos"/>
                <w:b w:val="0"/>
                <w:sz w:val="16"/>
              </w:rPr>
              <w:t>Recall</w:t>
            </w:r>
          </w:p>
        </w:tc>
        <w:tc>
          <w:tcPr>
            <w:tcW w:type="dxa" w:w="3960"/>
            <w:vAlign w:val="center"/>
            <w:shd w:fill="F1F5F9"/>
          </w:tcPr>
          <w:p>
            <w:pPr>
              <w:spacing w:after="20"/>
            </w:pPr>
            <w:r/>
            <w:r>
              <w:rPr>
                <w:rFonts w:ascii="Aptos" w:hAnsi="Aptos"/>
                <w:b w:val="0"/>
                <w:sz w:val="16"/>
              </w:rPr>
              <w:t>Fraction of actual positives identified</w:t>
            </w:r>
          </w:p>
        </w:tc>
        <w:tc>
          <w:tcPr>
            <w:tcW w:type="dxa" w:w="3600"/>
            <w:vAlign w:val="center"/>
            <w:shd w:fill="F1F5F9"/>
          </w:tcPr>
          <w:p>
            <w:pPr>
              <w:spacing w:after="20"/>
            </w:pPr>
            <w:r/>
            <w:r>
              <w:rPr>
                <w:rFonts w:ascii="Aptos" w:hAnsi="Aptos"/>
                <w:b w:val="0"/>
                <w:sz w:val="16"/>
              </w:rPr>
              <w:t>Higher recall may increase false positives</w:t>
            </w:r>
          </w:p>
        </w:tc>
      </w:tr>
      <w:tr>
        <w:tc>
          <w:tcPr>
            <w:tcW w:type="dxa" w:w="2160"/>
            <w:vAlign w:val="center"/>
          </w:tcPr>
          <w:p>
            <w:pPr>
              <w:spacing w:after="20"/>
            </w:pPr>
            <w:r/>
            <w:r>
              <w:rPr>
                <w:rFonts w:ascii="Aptos" w:hAnsi="Aptos"/>
                <w:b w:val="0"/>
                <w:sz w:val="16"/>
              </w:rPr>
              <w:t>F1 score</w:t>
            </w:r>
          </w:p>
        </w:tc>
        <w:tc>
          <w:tcPr>
            <w:tcW w:type="dxa" w:w="3960"/>
            <w:vAlign w:val="center"/>
          </w:tcPr>
          <w:p>
            <w:pPr>
              <w:spacing w:after="20"/>
            </w:pPr>
            <w:r/>
            <w:r>
              <w:rPr>
                <w:rFonts w:ascii="Aptos" w:hAnsi="Aptos"/>
                <w:b w:val="0"/>
                <w:sz w:val="16"/>
              </w:rPr>
              <w:t>Harmonic mean of precision and recall</w:t>
            </w:r>
          </w:p>
        </w:tc>
        <w:tc>
          <w:tcPr>
            <w:tcW w:type="dxa" w:w="3600"/>
            <w:vAlign w:val="center"/>
          </w:tcPr>
          <w:p>
            <w:pPr>
              <w:spacing w:after="20"/>
            </w:pPr>
            <w:r/>
            <w:r>
              <w:rPr>
                <w:rFonts w:ascii="Aptos" w:hAnsi="Aptos"/>
                <w:b w:val="0"/>
                <w:sz w:val="16"/>
              </w:rPr>
              <w:t>Does not measure probability calibration</w:t>
            </w:r>
          </w:p>
        </w:tc>
      </w:tr>
      <w:tr>
        <w:tc>
          <w:tcPr>
            <w:tcW w:type="dxa" w:w="2160"/>
            <w:vAlign w:val="center"/>
            <w:shd w:fill="F1F5F9"/>
          </w:tcPr>
          <w:p>
            <w:pPr>
              <w:spacing w:after="20"/>
            </w:pPr>
            <w:r/>
            <w:r>
              <w:rPr>
                <w:rFonts w:ascii="Aptos" w:hAnsi="Aptos"/>
                <w:b w:val="0"/>
                <w:sz w:val="16"/>
              </w:rPr>
              <w:t>Brier score / calibration plot</w:t>
            </w:r>
          </w:p>
        </w:tc>
        <w:tc>
          <w:tcPr>
            <w:tcW w:type="dxa" w:w="3960"/>
            <w:vAlign w:val="center"/>
            <w:shd w:fill="F1F5F9"/>
          </w:tcPr>
          <w:p>
            <w:pPr>
              <w:spacing w:after="20"/>
            </w:pPr>
            <w:r/>
            <w:r>
              <w:rPr>
                <w:rFonts w:ascii="Aptos" w:hAnsi="Aptos"/>
                <w:b w:val="0"/>
                <w:sz w:val="16"/>
              </w:rPr>
              <w:t>Quality of probability estimates</w:t>
            </w:r>
          </w:p>
        </w:tc>
        <w:tc>
          <w:tcPr>
            <w:tcW w:type="dxa" w:w="3600"/>
            <w:vAlign w:val="center"/>
            <w:shd w:fill="F1F5F9"/>
          </w:tcPr>
          <w:p>
            <w:pPr>
              <w:spacing w:after="20"/>
            </w:pPr>
            <w:r/>
            <w:r>
              <w:rPr>
                <w:rFonts w:ascii="Aptos" w:hAnsi="Aptos"/>
                <w:b w:val="0"/>
                <w:sz w:val="16"/>
              </w:rPr>
              <w:t>Interpret relative to the outcome prevalence and evaluation setup</w:t>
            </w:r>
          </w:p>
        </w:tc>
      </w:tr>
      <w:tr>
        <w:tc>
          <w:tcPr>
            <w:tcW w:type="dxa" w:w="2160"/>
            <w:vAlign w:val="center"/>
          </w:tcPr>
          <w:p>
            <w:pPr>
              <w:spacing w:after="20"/>
            </w:pPr>
            <w:r/>
            <w:r>
              <w:rPr>
                <w:rFonts w:ascii="Aptos" w:hAnsi="Aptos"/>
                <w:b w:val="0"/>
                <w:sz w:val="16"/>
              </w:rPr>
              <w:t>Confusion matrix</w:t>
            </w:r>
          </w:p>
        </w:tc>
        <w:tc>
          <w:tcPr>
            <w:tcW w:type="dxa" w:w="3960"/>
            <w:vAlign w:val="center"/>
          </w:tcPr>
          <w:p>
            <w:pPr>
              <w:spacing w:after="20"/>
            </w:pPr>
            <w:r/>
            <w:r>
              <w:rPr>
                <w:rFonts w:ascii="Aptos" w:hAnsi="Aptos"/>
                <w:b w:val="0"/>
                <w:sz w:val="16"/>
              </w:rPr>
              <w:t>Counts of true/false positives and negatives</w:t>
            </w:r>
          </w:p>
        </w:tc>
        <w:tc>
          <w:tcPr>
            <w:tcW w:type="dxa" w:w="3600"/>
            <w:vAlign w:val="center"/>
          </w:tcPr>
          <w:p>
            <w:pPr>
              <w:spacing w:after="20"/>
            </w:pPr>
            <w:r/>
            <w:r>
              <w:rPr>
                <w:rFonts w:ascii="Aptos" w:hAnsi="Aptos"/>
                <w:b w:val="0"/>
                <w:sz w:val="16"/>
              </w:rPr>
              <w:t>Depends on the selected decision threshold</w:t>
            </w:r>
          </w:p>
        </w:tc>
      </w:tr>
    </w:tbl>
    <w:p>
      <w:pPr>
        <w:spacing w:after="20"/>
      </w:pPr>
    </w:p>
    <w:p>
      <w:r>
        <w:t>Choose a decision threshold based on an explicit use case and the costs of false positives and false negatives. Do not use accuracy alone as the primary metric for an imbalanced credit-risk target.</w:t>
      </w:r>
    </w:p>
    <w:p>
      <w:pPr>
        <w:pStyle w:val="Heading2"/>
      </w:pPr>
      <w:r>
        <w:t>Probability calibration</w:t>
      </w:r>
    </w:p>
    <w:p>
      <w:r>
        <w:t>A classifier may rank borrowers well while producing poorly calibrated probabilities. Review calibration plots and a suitable score such as Brier score on data that was not used to fit the calibration procedure. If calibration is applied, fit it within a leakage-safe validation workflow.</w:t>
      </w:r>
    </w:p>
    <w:p>
      <w:pPr>
        <w:pStyle w:val="Heading2"/>
      </w:pPr>
      <w:r>
        <w:t>Explainability</w:t>
      </w:r>
    </w:p>
    <w:p>
      <w:r>
        <w:t>SHAP can summarize which features contribute to model output and explain individual predictions. Explain results as model associations, not causal drivers. Explainability does not prove that a model is fair, legally compliant, or correct.</w:t>
      </w:r>
    </w:p>
    <w:p>
      <w:pPr>
        <w:pStyle w:val="Heading1"/>
      </w:pPr>
      <w:r>
        <w:t>10. Credit Risk and Expected-Loss Analytics</w:t>
      </w:r>
    </w:p>
    <w:p>
      <w:r>
        <w:t>The dashboard can use three concepts common in credit-risk analysis: probability of default (PD), loss given default (LGD), and exposure at default (EAD). In this project, the trained model estimates the dataset's defined serious-delinquency outcome, so label its probability accordingly rather than silently treating it as a universally valid PD.</w:t>
      </w:r>
    </w:p>
    <w:p>
      <w:pPr>
        <w:spacing w:before="80" w:after="140"/>
        <w:ind w:left="259" w:right="259"/>
        <w:shd w:fill="F1F5F9"/>
      </w:pPr>
      <w:r>
        <w:rPr>
          <w:rFonts w:ascii="Consolas" w:hAnsi="Consolas"/>
          <w:color w:val="233241"/>
          <w:sz w:val="16"/>
        </w:rPr>
        <w:t>Expected Loss (EL) = PD × LGD × EAD</w:t>
      </w:r>
      <w:r>
        <w:br/>
      </w:r>
      <w:r>
        <w:rPr>
          <w:rFonts w:ascii="Consolas" w:hAnsi="Consolas"/>
          <w:color w:val="233241"/>
          <w:sz w:val="16"/>
        </w:rPr>
      </w:r>
      <w:r>
        <w:br/>
      </w:r>
      <w:r>
        <w:rPr>
          <w:rFonts w:ascii="Consolas" w:hAnsi="Consolas"/>
          <w:color w:val="233241"/>
          <w:sz w:val="16"/>
        </w:rPr>
        <w:t>Illustrative scenario only:</w:t>
      </w:r>
      <w:r>
        <w:br/>
      </w:r>
      <w:r>
        <w:rPr>
          <w:rFonts w:ascii="Consolas" w:hAnsi="Consolas"/>
          <w:color w:val="233241"/>
          <w:sz w:val="16"/>
        </w:rPr>
        <w:t>Estimated event probability = 0.08</w:t>
      </w:r>
      <w:r>
        <w:br/>
      </w:r>
      <w:r>
        <w:rPr>
          <w:rFonts w:ascii="Consolas" w:hAnsi="Consolas"/>
          <w:color w:val="233241"/>
          <w:sz w:val="16"/>
        </w:rPr>
        <w:t>Assumed LGD                = 0.45</w:t>
      </w:r>
      <w:r>
        <w:br/>
      </w:r>
      <w:r>
        <w:rPr>
          <w:rFonts w:ascii="Consolas" w:hAnsi="Consolas"/>
          <w:color w:val="233241"/>
          <w:sz w:val="16"/>
        </w:rPr>
        <w:t>Hypothetical EAD           = ₹100,000</w:t>
      </w:r>
      <w:r>
        <w:br/>
      </w:r>
      <w:r>
        <w:rPr>
          <w:rFonts w:ascii="Consolas" w:hAnsi="Consolas"/>
          <w:color w:val="233241"/>
          <w:sz w:val="16"/>
        </w:rPr>
      </w:r>
      <w:r>
        <w:br/>
      </w:r>
      <w:r>
        <w:rPr>
          <w:rFonts w:ascii="Consolas" w:hAnsi="Consolas"/>
          <w:color w:val="233241"/>
          <w:sz w:val="16"/>
        </w:rPr>
        <w:t>Scenario EL = 0.08 × 0.45 × ₹100,000 = ₹3,600</w:t>
      </w:r>
    </w:p>
    <w:p>
      <w:r>
        <w:t>The values above are illustrative assumptions, not measured project results. Clearly label the LGD and EAD inputs as hypothetical unless they are supported by a suitable dataset and methodology.</w:t>
      </w:r>
    </w:p>
    <w:p>
      <w:pPr>
        <w:pStyle w:val="Heading2"/>
      </w:pPr>
      <w:r>
        <w:t>Risk bands</w:t>
      </w:r>
    </w:p>
    <w:p>
      <w:r>
        <w:t>The application may display low, medium and high risk bands based on configurable probability thresholds. Document how the thresholds were chosen and treat them as demonstration settings, not approved lending policy. Avoid presenting a risk band as a loan approval or rejection recommendation.</w:t>
      </w:r>
    </w:p>
    <w:p>
      <w:pPr>
        <w:pStyle w:val="Heading1"/>
      </w:pPr>
      <w:r>
        <w:t>11. Streamlit Application Design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23052"/>
          </w:tcPr>
          <w:p>
            <w:pPr>
              <w:spacing w:after="20"/>
            </w:pPr>
            <w:r/>
            <w:r>
              <w:rPr>
                <w:rFonts w:ascii="Aptos" w:hAnsi="Aptos"/>
                <w:b/>
                <w:color w:val="FFFFFF"/>
                <w:sz w:val="17"/>
              </w:rPr>
              <w:t>Page</w:t>
            </w:r>
          </w:p>
        </w:tc>
        <w:tc>
          <w:tcPr>
            <w:tcW w:type="dxa" w:w="7272"/>
            <w:vAlign w:val="center"/>
            <w:shd w:fill="123052"/>
          </w:tcPr>
          <w:p>
            <w:pPr>
              <w:spacing w:after="20"/>
            </w:pPr>
            <w:r/>
            <w:r>
              <w:rPr>
                <w:rFonts w:ascii="Aptos" w:hAnsi="Aptos"/>
                <w:b/>
                <w:color w:val="FFFFFF"/>
                <w:sz w:val="17"/>
              </w:rPr>
              <w:t>Suggested components</w:t>
            </w:r>
          </w:p>
        </w:tc>
      </w:tr>
      <w:tr>
        <w:tc>
          <w:tcPr>
            <w:tcW w:type="dxa" w:w="2448"/>
            <w:vAlign w:val="center"/>
          </w:tcPr>
          <w:p>
            <w:pPr>
              <w:spacing w:after="20"/>
            </w:pPr>
            <w:r/>
            <w:r>
              <w:rPr>
                <w:rFonts w:ascii="Aptos" w:hAnsi="Aptos"/>
                <w:b w:val="0"/>
                <w:sz w:val="16"/>
              </w:rPr>
              <w:t>Portfolio Overview</w:t>
            </w:r>
          </w:p>
        </w:tc>
        <w:tc>
          <w:tcPr>
            <w:tcW w:type="dxa" w:w="7272"/>
            <w:vAlign w:val="center"/>
          </w:tcPr>
          <w:p>
            <w:pPr>
              <w:spacing w:after="20"/>
            </w:pPr>
            <w:r/>
            <w:r>
              <w:rPr>
                <w:rFonts w:ascii="Aptos" w:hAnsi="Aptos"/>
                <w:b w:val="0"/>
                <w:sz w:val="16"/>
              </w:rPr>
              <w:t>KPI cards, target prevalence, feature distributions, segment comparison charts and filters</w:t>
            </w:r>
          </w:p>
        </w:tc>
      </w:tr>
      <w:tr>
        <w:tc>
          <w:tcPr>
            <w:tcW w:type="dxa" w:w="2448"/>
            <w:vAlign w:val="center"/>
            <w:shd w:fill="F1F5F9"/>
          </w:tcPr>
          <w:p>
            <w:pPr>
              <w:spacing w:after="20"/>
            </w:pPr>
            <w:r/>
            <w:r>
              <w:rPr>
                <w:rFonts w:ascii="Aptos" w:hAnsi="Aptos"/>
                <w:b w:val="0"/>
                <w:sz w:val="16"/>
              </w:rPr>
              <w:t>Borrower Assessment</w:t>
            </w:r>
          </w:p>
        </w:tc>
        <w:tc>
          <w:tcPr>
            <w:tcW w:type="dxa" w:w="7272"/>
            <w:vAlign w:val="center"/>
            <w:shd w:fill="F1F5F9"/>
          </w:tcPr>
          <w:p>
            <w:pPr>
              <w:spacing w:after="20"/>
            </w:pPr>
            <w:r/>
            <w:r>
              <w:rPr>
                <w:rFonts w:ascii="Aptos" w:hAnsi="Aptos"/>
                <w:b w:val="0"/>
                <w:sz w:val="16"/>
              </w:rPr>
              <w:t>Input form, validation messages, estimated event probability, risk band and explanation</w:t>
            </w:r>
          </w:p>
        </w:tc>
      </w:tr>
      <w:tr>
        <w:tc>
          <w:tcPr>
            <w:tcW w:type="dxa" w:w="2448"/>
            <w:vAlign w:val="center"/>
          </w:tcPr>
          <w:p>
            <w:pPr>
              <w:spacing w:after="20"/>
            </w:pPr>
            <w:r/>
            <w:r>
              <w:rPr>
                <w:rFonts w:ascii="Aptos" w:hAnsi="Aptos"/>
                <w:b w:val="0"/>
                <w:sz w:val="16"/>
              </w:rPr>
              <w:t>Model Performance</w:t>
            </w:r>
          </w:p>
        </w:tc>
        <w:tc>
          <w:tcPr>
            <w:tcW w:type="dxa" w:w="7272"/>
            <w:vAlign w:val="center"/>
          </w:tcPr>
          <w:p>
            <w:pPr>
              <w:spacing w:after="20"/>
            </w:pPr>
            <w:r/>
            <w:r>
              <w:rPr>
                <w:rFonts w:ascii="Aptos" w:hAnsi="Aptos"/>
                <w:b w:val="0"/>
                <w:sz w:val="16"/>
              </w:rPr>
              <w:t>Model comparison table, ROC/PR curves, confusion matrix, threshold analysis and calibration</w:t>
            </w:r>
          </w:p>
        </w:tc>
      </w:tr>
      <w:tr>
        <w:tc>
          <w:tcPr>
            <w:tcW w:type="dxa" w:w="2448"/>
            <w:vAlign w:val="center"/>
            <w:shd w:fill="F1F5F9"/>
          </w:tcPr>
          <w:p>
            <w:pPr>
              <w:spacing w:after="20"/>
            </w:pPr>
            <w:r/>
            <w:r>
              <w:rPr>
                <w:rFonts w:ascii="Aptos" w:hAnsi="Aptos"/>
                <w:b w:val="0"/>
                <w:sz w:val="16"/>
              </w:rPr>
              <w:t>Explainability</w:t>
            </w:r>
          </w:p>
        </w:tc>
        <w:tc>
          <w:tcPr>
            <w:tcW w:type="dxa" w:w="7272"/>
            <w:vAlign w:val="center"/>
            <w:shd w:fill="F1F5F9"/>
          </w:tcPr>
          <w:p>
            <w:pPr>
              <w:spacing w:after="20"/>
            </w:pPr>
            <w:r/>
            <w:r>
              <w:rPr>
                <w:rFonts w:ascii="Aptos" w:hAnsi="Aptos"/>
                <w:b w:val="0"/>
                <w:sz w:val="16"/>
              </w:rPr>
              <w:t>Global SHAP summary and individual prediction explanation, computed efficiently</w:t>
            </w:r>
          </w:p>
        </w:tc>
      </w:tr>
      <w:tr>
        <w:tc>
          <w:tcPr>
            <w:tcW w:type="dxa" w:w="2448"/>
            <w:vAlign w:val="center"/>
          </w:tcPr>
          <w:p>
            <w:pPr>
              <w:spacing w:after="20"/>
            </w:pPr>
            <w:r/>
            <w:r>
              <w:rPr>
                <w:rFonts w:ascii="Aptos" w:hAnsi="Aptos"/>
                <w:b w:val="0"/>
                <w:sz w:val="16"/>
              </w:rPr>
              <w:t>Loss Scenarios</w:t>
            </w:r>
          </w:p>
        </w:tc>
        <w:tc>
          <w:tcPr>
            <w:tcW w:type="dxa" w:w="7272"/>
            <w:vAlign w:val="center"/>
          </w:tcPr>
          <w:p>
            <w:pPr>
              <w:spacing w:after="20"/>
            </w:pPr>
            <w:r/>
            <w:r>
              <w:rPr>
                <w:rFonts w:ascii="Aptos" w:hAnsi="Aptos"/>
                <w:b w:val="0"/>
                <w:sz w:val="16"/>
              </w:rPr>
              <w:t>PD estimate, explicit LGD/EAD assumptions, scenario controls and expected-loss calculation</w:t>
            </w:r>
          </w:p>
        </w:tc>
      </w:tr>
    </w:tbl>
    <w:p>
      <w:pPr>
        <w:spacing w:after="20"/>
      </w:pPr>
    </w:p>
    <w:p>
      <w:pPr>
        <w:pStyle w:val="Heading2"/>
      </w:pPr>
      <w:r>
        <w:t>Application design principles</w:t>
      </w:r>
    </w:p>
    <w:p>
      <w:pPr>
        <w:pStyle w:val="ListBullet"/>
        <w:spacing w:after="40"/>
      </w:pPr>
      <w:r>
        <w:t>Use clear labels, units, help text and definitions for every financial input.</w:t>
      </w:r>
    </w:p>
    <w:p>
      <w:pPr>
        <w:pStyle w:val="ListBullet"/>
        <w:spacing w:after="40"/>
      </w:pPr>
      <w:r>
        <w:t>Validate ranges and reject impossible or malformed input rather than silently correcting it.</w:t>
      </w:r>
    </w:p>
    <w:p>
      <w:pPr>
        <w:pStyle w:val="ListBullet"/>
        <w:spacing w:after="40"/>
      </w:pPr>
      <w:r>
        <w:t>Display the model version or training artifact identifier where feasible.</w:t>
      </w:r>
    </w:p>
    <w:p>
      <w:pPr>
        <w:pStyle w:val="ListBullet"/>
        <w:spacing w:after="40"/>
      </w:pPr>
      <w:r>
        <w:t>Cache only safe, reusable computations such as static model metadata and aggregate analyses.</w:t>
      </w:r>
    </w:p>
    <w:p>
      <w:pPr>
        <w:pStyle w:val="ListBullet"/>
        <w:spacing w:after="40"/>
      </w:pPr>
      <w:r>
        <w:t>Avoid expensive model explanation computations on every Streamlit rerun; calculate or cache suitable safe outputs.</w:t>
      </w:r>
    </w:p>
    <w:p>
      <w:pPr>
        <w:pStyle w:val="ListBullet"/>
        <w:spacing w:after="40"/>
      </w:pPr>
      <w:r>
        <w:t>Provide a visible limitation statement and explain that outputs are estimates, not lending decisions.</w:t>
      </w:r>
    </w:p>
    <w:p>
      <w:pPr>
        <w:pStyle w:val="Heading1"/>
      </w:pPr>
      <w:r>
        <w:t>12. Privacy, Security and Responsible Use</w:t>
      </w:r>
    </w:p>
    <w:p>
      <w:pPr>
        <w:pStyle w:val="ListBullet"/>
        <w:spacing w:after="40"/>
      </w:pPr>
      <w:r>
        <w:t>Do not persist individual borrower inputs or prediction outputs in a database or file-based history.</w:t>
      </w:r>
    </w:p>
    <w:p>
      <w:pPr>
        <w:pStyle w:val="ListBullet"/>
        <w:spacing w:after="40"/>
      </w:pPr>
      <w:r>
        <w:t>Avoid logging request bodies or sensitive user-entered financial values; review hosting-provider logs and retention settings.</w:t>
      </w:r>
    </w:p>
    <w:p>
      <w:pPr>
        <w:pStyle w:val="ListBullet"/>
        <w:spacing w:after="40"/>
      </w:pPr>
      <w:r>
        <w:t>Never commit secrets, API keys, private data or credentials to GitHub.</w:t>
      </w:r>
    </w:p>
    <w:p>
      <w:pPr>
        <w:pStyle w:val="ListBullet"/>
        <w:spacing w:after="40"/>
      </w:pPr>
      <w:r>
        <w:t>Use only lawful, appropriately licensed datasets and minimize data included in the public repository.</w:t>
      </w:r>
    </w:p>
    <w:p>
      <w:pPr>
        <w:pStyle w:val="ListBullet"/>
        <w:spacing w:after="40"/>
      </w:pPr>
      <w:r>
        <w:t>Treat credit-risk outputs as decision support; do not claim production readiness or regulatory compliance.</w:t>
      </w:r>
    </w:p>
    <w:p>
      <w:pPr>
        <w:pStyle w:val="ListBullet"/>
        <w:spacing w:after="40"/>
      </w:pPr>
      <w:r>
        <w:t>Investigate subgroup performance and fairness considerations before any real-world use.</w:t>
      </w:r>
    </w:p>
    <w:p>
      <w:pPr>
        <w:pStyle w:val="ListBullet"/>
        <w:spacing w:after="40"/>
      </w:pPr>
      <w:r>
        <w:t>Use a secure HTTPS setup and appropriate access controls before exposing a service beyond a demonstration.</w:t>
      </w:r>
    </w:p>
    <w:p>
      <w:pPr>
        <w:pStyle w:val="ListBullet"/>
        <w:spacing w:after="40"/>
      </w:pPr>
      <w:r>
        <w:t>Load only trusted model artifacts: serialized Python objects such as Joblib files can execute code when deserialized.</w:t>
      </w:r>
    </w:p>
    <w:p>
      <w:pPr>
        <w:pStyle w:val="Heading1"/>
      </w:pPr>
      <w:r>
        <w:t>13. Local Development Setup</w:t>
      </w:r>
    </w:p>
    <w:p>
      <w:r>
        <w:t>Create and activate a virtual environment from the repository root.</w:t>
      </w:r>
    </w:p>
    <w:p>
      <w:pPr>
        <w:spacing w:before="80" w:after="140"/>
        <w:ind w:left="259" w:right="259"/>
        <w:shd w:fill="F1F5F9"/>
      </w:pPr>
      <w:r>
        <w:rPr>
          <w:rFonts w:ascii="Consolas" w:hAnsi="Consolas"/>
          <w:color w:val="233241"/>
          <w:sz w:val="16"/>
        </w:rPr>
        <w:t># Windows PowerShell</w:t>
      </w:r>
      <w:r>
        <w:br/>
      </w:r>
      <w:r>
        <w:rPr>
          <w:rFonts w:ascii="Consolas" w:hAnsi="Consolas"/>
          <w:color w:val="233241"/>
          <w:sz w:val="16"/>
        </w:rPr>
        <w:t>python -m venv .venv</w:t>
      </w:r>
      <w:r>
        <w:br/>
      </w:r>
      <w:r>
        <w:rPr>
          <w:rFonts w:ascii="Consolas" w:hAnsi="Consolas"/>
          <w:color w:val="233241"/>
          <w:sz w:val="16"/>
        </w:rPr>
        <w:t>.venv\Scripts\Activate.ps1</w:t>
      </w:r>
      <w:r>
        <w:br/>
      </w:r>
      <w:r>
        <w:rPr>
          <w:rFonts w:ascii="Consolas" w:hAnsi="Consolas"/>
          <w:color w:val="233241"/>
          <w:sz w:val="16"/>
        </w:rPr>
      </w:r>
      <w:r>
        <w:br/>
      </w:r>
      <w:r>
        <w:rPr>
          <w:rFonts w:ascii="Consolas" w:hAnsi="Consolas"/>
          <w:color w:val="233241"/>
          <w:sz w:val="16"/>
        </w:rPr>
        <w:t># Install dependencies</w:t>
      </w:r>
      <w:r>
        <w:br/>
      </w:r>
      <w:r>
        <w:rPr>
          <w:rFonts w:ascii="Consolas" w:hAnsi="Consolas"/>
          <w:color w:val="233241"/>
          <w:sz w:val="16"/>
        </w:rPr>
        <w:t>pip install -r requirements.txt</w:t>
      </w:r>
      <w:r>
        <w:br/>
      </w:r>
      <w:r>
        <w:rPr>
          <w:rFonts w:ascii="Consolas" w:hAnsi="Consolas"/>
          <w:color w:val="233241"/>
          <w:sz w:val="16"/>
        </w:rPr>
      </w:r>
      <w:r>
        <w:br/>
      </w:r>
      <w:r>
        <w:rPr>
          <w:rFonts w:ascii="Consolas" w:hAnsi="Consolas"/>
          <w:color w:val="233241"/>
          <w:sz w:val="16"/>
        </w:rPr>
        <w:t># Launch Streamlit</w:t>
      </w:r>
      <w:r>
        <w:br/>
      </w:r>
      <w:r>
        <w:rPr>
          <w:rFonts w:ascii="Consolas" w:hAnsi="Consolas"/>
          <w:color w:val="233241"/>
          <w:sz w:val="16"/>
        </w:rPr>
        <w:t>streamlit run frontend/app.py</w:t>
      </w:r>
    </w:p>
    <w:p>
      <w:pPr>
        <w:pStyle w:val="Heading2"/>
      </w:pPr>
      <w:r>
        <w:t>Suggested requirements.txt</w:t>
      </w:r>
    </w:p>
    <w:p>
      <w:pPr>
        <w:spacing w:before="80" w:after="140"/>
        <w:ind w:left="259" w:right="259"/>
        <w:shd w:fill="F1F5F9"/>
      </w:pPr>
      <w:r>
        <w:rPr>
          <w:rFonts w:ascii="Consolas" w:hAnsi="Consolas"/>
          <w:color w:val="233241"/>
          <w:sz w:val="16"/>
        </w:rPr>
        <w:t>streamlit</w:t>
      </w:r>
      <w:r>
        <w:br/>
      </w:r>
      <w:r>
        <w:rPr>
          <w:rFonts w:ascii="Consolas" w:hAnsi="Consolas"/>
          <w:color w:val="233241"/>
          <w:sz w:val="16"/>
        </w:rPr>
        <w:t>pandas</w:t>
      </w:r>
      <w:r>
        <w:br/>
      </w:r>
      <w:r>
        <w:rPr>
          <w:rFonts w:ascii="Consolas" w:hAnsi="Consolas"/>
          <w:color w:val="233241"/>
          <w:sz w:val="16"/>
        </w:rPr>
        <w:t>numpy</w:t>
      </w:r>
      <w:r>
        <w:br/>
      </w:r>
      <w:r>
        <w:rPr>
          <w:rFonts w:ascii="Consolas" w:hAnsi="Consolas"/>
          <w:color w:val="233241"/>
          <w:sz w:val="16"/>
        </w:rPr>
        <w:t>scikit-learn</w:t>
      </w:r>
      <w:r>
        <w:br/>
      </w:r>
      <w:r>
        <w:rPr>
          <w:rFonts w:ascii="Consolas" w:hAnsi="Consolas"/>
          <w:color w:val="233241"/>
          <w:sz w:val="16"/>
        </w:rPr>
        <w:t>joblib</w:t>
      </w:r>
      <w:r>
        <w:br/>
      </w:r>
      <w:r>
        <w:rPr>
          <w:rFonts w:ascii="Consolas" w:hAnsi="Consolas"/>
          <w:color w:val="233241"/>
          <w:sz w:val="16"/>
        </w:rPr>
        <w:t>matplotlib</w:t>
      </w:r>
      <w:r>
        <w:br/>
      </w:r>
      <w:r>
        <w:rPr>
          <w:rFonts w:ascii="Consolas" w:hAnsi="Consolas"/>
          <w:color w:val="233241"/>
          <w:sz w:val="16"/>
        </w:rPr>
        <w:t>seaborn</w:t>
      </w:r>
      <w:r>
        <w:br/>
      </w:r>
      <w:r>
        <w:rPr>
          <w:rFonts w:ascii="Consolas" w:hAnsi="Consolas"/>
          <w:color w:val="233241"/>
          <w:sz w:val="16"/>
        </w:rPr>
        <w:t>plotly</w:t>
      </w:r>
      <w:r>
        <w:br/>
      </w:r>
      <w:r>
        <w:rPr>
          <w:rFonts w:ascii="Consolas" w:hAnsi="Consolas"/>
          <w:color w:val="233241"/>
          <w:sz w:val="16"/>
        </w:rPr>
        <w:t>shap</w:t>
      </w:r>
      <w:r>
        <w:br/>
      </w:r>
      <w:r>
        <w:rPr>
          <w:rFonts w:ascii="Consolas" w:hAnsi="Consolas"/>
          <w:color w:val="233241"/>
          <w:sz w:val="16"/>
        </w:rPr>
        <w:t>xgboost</w:t>
      </w:r>
    </w:p>
    <w:p>
      <w:r>
        <w:t>This is a starting list. Keep only packages actually imported, test the application in a clean environment, and pin versions that are known to work before deployment. If the project uses a model trained with a specific scikit-learn or XGBoost version, align deployment dependencies with the training environment.</w:t>
      </w:r>
    </w:p>
    <w:p>
      <w:pPr>
        <w:pStyle w:val="Heading2"/>
      </w:pPr>
      <w:r>
        <w:t>Recommended .gitignore entries</w:t>
      </w:r>
    </w:p>
    <w:p>
      <w:pPr>
        <w:spacing w:before="80" w:after="140"/>
        <w:ind w:left="259" w:right="259"/>
        <w:shd w:fill="F1F5F9"/>
      </w:pPr>
      <w:r>
        <w:rPr>
          <w:rFonts w:ascii="Consolas" w:hAnsi="Consolas"/>
          <w:color w:val="233241"/>
          <w:sz w:val="16"/>
        </w:rPr>
        <w:t>.venv/</w:t>
      </w:r>
      <w:r>
        <w:br/>
      </w:r>
      <w:r>
        <w:rPr>
          <w:rFonts w:ascii="Consolas" w:hAnsi="Consolas"/>
          <w:color w:val="233241"/>
          <w:sz w:val="16"/>
        </w:rPr>
        <w:t>__pycache__/</w:t>
      </w:r>
      <w:r>
        <w:br/>
      </w:r>
      <w:r>
        <w:rPr>
          <w:rFonts w:ascii="Consolas" w:hAnsi="Consolas"/>
          <w:color w:val="233241"/>
          <w:sz w:val="16"/>
        </w:rPr>
        <w:t>.ipynb_checkpoints/</w:t>
      </w:r>
      <w:r>
        <w:br/>
      </w:r>
      <w:r>
        <w:rPr>
          <w:rFonts w:ascii="Consolas" w:hAnsi="Consolas"/>
          <w:color w:val="233241"/>
          <w:sz w:val="16"/>
        </w:rPr>
        <w:t>.env</w:t>
      </w:r>
      <w:r>
        <w:br/>
      </w:r>
      <w:r>
        <w:rPr>
          <w:rFonts w:ascii="Consolas" w:hAnsi="Consolas"/>
          <w:color w:val="233241"/>
          <w:sz w:val="16"/>
        </w:rPr>
        <w:t>*.log</w:t>
      </w:r>
      <w:r>
        <w:br/>
      </w:r>
      <w:r>
        <w:rPr>
          <w:rFonts w:ascii="Consolas" w:hAnsi="Consolas"/>
          <w:color w:val="233241"/>
          <w:sz w:val="16"/>
        </w:rPr>
        <w:t>.DS_Store</w:t>
      </w:r>
    </w:p>
    <w:p>
      <w:r>
        <w:t>Add dataset and artifact exclusions according to the dataset license, file size and hosting strategy. If the model is intentionally version-controlled, document its provenance and verify repository size limits.</w:t>
      </w:r>
    </w:p>
    <w:p>
      <w:pPr>
        <w:pStyle w:val="Heading1"/>
      </w:pPr>
      <w:r>
        <w:t>14. Deployment on Streamlit Community Cloud</w:t>
      </w:r>
    </w:p>
    <w:p>
      <w:r>
        <w:t>Streamlit Community Cloud is the simplest initial deployment option for a portfolio application. It connects to a GitHub repository and runs a selected Python entry-point file.</w:t>
      </w:r>
    </w:p>
    <w:p>
      <w:pPr>
        <w:pStyle w:val="ListNumber"/>
        <w:spacing w:after="60"/>
      </w:pPr>
      <w:r>
        <w:t>Create a GitHub repository for the project and push the source code, README, requirements.txt and permitted artifacts.</w:t>
      </w:r>
    </w:p>
    <w:p>
      <w:pPr>
        <w:pStyle w:val="ListNumber"/>
        <w:spacing w:after="60"/>
      </w:pPr>
      <w:r>
        <w:t>Test the application locally from a clean environment and ensure all file paths are repository-relative.</w:t>
      </w:r>
    </w:p>
    <w:p>
      <w:pPr>
        <w:pStyle w:val="ListNumber"/>
        <w:spacing w:after="60"/>
      </w:pPr>
      <w:r>
        <w:t>Sign in to Streamlit Community Cloud at https://share.streamlit.io/ using GitHub.</w:t>
      </w:r>
    </w:p>
    <w:p>
      <w:pPr>
        <w:pStyle w:val="ListNumber"/>
        <w:spacing w:after="60"/>
      </w:pPr>
      <w:r>
        <w:t>Create a new app and select the repository, deployment branch and frontend/app.py entry point.</w:t>
      </w:r>
    </w:p>
    <w:p>
      <w:pPr>
        <w:pStyle w:val="ListNumber"/>
        <w:spacing w:after="60"/>
      </w:pPr>
      <w:r>
        <w:t>Select a supported Python version and deploy the app.</w:t>
      </w:r>
    </w:p>
    <w:p>
      <w:pPr>
        <w:pStyle w:val="ListNumber"/>
        <w:spacing w:after="60"/>
      </w:pPr>
      <w:r>
        <w:t>Open the generated public URL and test the dashboard, prediction form, charts, model loading and error states.</w:t>
      </w:r>
    </w:p>
    <w:p>
      <w:pPr>
        <w:pStyle w:val="ListNumber"/>
        <w:spacing w:after="60"/>
      </w:pPr>
      <w:r>
        <w:t>Push fixes to GitHub and confirm the deployed app updates correctly.</w:t>
      </w:r>
    </w:p>
    <w:p>
      <w:r>
        <w:t>Official documentation: https://docs.streamlit.io/deploy/streamlit-community-cloud/deploy-your-app</w:t>
      </w:r>
    </w:p>
    <w:p>
      <w:pPr>
        <w:pStyle w:val="Heading2"/>
      </w:pPr>
      <w:r>
        <w:t>Deployment considerations</w:t>
      </w:r>
    </w:p>
    <w:p>
      <w:pPr>
        <w:pStyle w:val="ListBullet"/>
        <w:spacing w:after="40"/>
      </w:pPr>
      <w:r>
        <w:t>Observe memory, startup-time and resource limits; avoid unnecessary large computations.</w:t>
      </w:r>
    </w:p>
    <w:p>
      <w:pPr>
        <w:pStyle w:val="ListBullet"/>
        <w:spacing w:after="40"/>
      </w:pPr>
      <w:r>
        <w:t>Ensure the model artifact is available and compatible with the runtime dependencies.</w:t>
      </w:r>
    </w:p>
    <w:p>
      <w:pPr>
        <w:pStyle w:val="ListBullet"/>
        <w:spacing w:after="40"/>
      </w:pPr>
      <w:r>
        <w:t>Do not commit sensitive data or secrets.</w:t>
      </w:r>
    </w:p>
    <w:p>
      <w:pPr>
        <w:pStyle w:val="ListBullet"/>
        <w:spacing w:after="40"/>
      </w:pPr>
      <w:r>
        <w:t>A public demo should not accept real sensitive borrower data unless the full privacy and security design has been reviewed.</w:t>
      </w:r>
    </w:p>
    <w:p>
      <w:pPr>
        <w:pStyle w:val="Heading1"/>
      </w:pPr>
      <w:r>
        <w:t>15. Deployment on AWS EC2 Without Containers</w:t>
      </w:r>
    </w:p>
    <w:p>
      <w:r>
        <w:t>Amazon EC2 provides a Linux virtual machine on which the application can run directly in Python. Docker is not required. This option offers more control than managed demo hosting, but also requires responsibility for server configuration, updates, process supervision, networking and security.</w:t>
      </w:r>
    </w:p>
    <w:p>
      <w:pPr>
        <w:pStyle w:val="Heading2"/>
      </w:pPr>
      <w:r>
        <w:t>Architecture</w:t>
      </w:r>
    </w:p>
    <w:p>
      <w:pPr>
        <w:spacing w:before="80" w:after="140"/>
        <w:ind w:left="259" w:right="259"/>
        <w:shd w:fill="F1F5F9"/>
      </w:pPr>
      <w:r>
        <w:rPr>
          <w:rFonts w:ascii="Consolas" w:hAnsi="Consolas"/>
          <w:color w:val="233241"/>
          <w:sz w:val="16"/>
        </w:rPr>
        <w:t>Visitor</w:t>
      </w:r>
      <w:r>
        <w:br/>
      </w:r>
      <w:r>
        <w:rPr>
          <w:rFonts w:ascii="Consolas" w:hAnsi="Consolas"/>
          <w:color w:val="233241"/>
          <w:sz w:val="16"/>
        </w:rPr>
        <w:t xml:space="preserve">  |</w:t>
      </w:r>
      <w:r>
        <w:br/>
      </w:r>
      <w:r>
        <w:rPr>
          <w:rFonts w:ascii="Consolas" w:hAnsi="Consolas"/>
          <w:color w:val="233241"/>
          <w:sz w:val="16"/>
        </w:rPr>
        <w:t>HTTPS endpoint / domain</w:t>
      </w:r>
      <w:r>
        <w:br/>
      </w:r>
      <w:r>
        <w:rPr>
          <w:rFonts w:ascii="Consolas" w:hAnsi="Consolas"/>
          <w:color w:val="233241"/>
          <w:sz w:val="16"/>
        </w:rPr>
        <w:t xml:space="preserve">  |</w:t>
      </w:r>
      <w:r>
        <w:br/>
      </w:r>
      <w:r>
        <w:rPr>
          <w:rFonts w:ascii="Consolas" w:hAnsi="Consolas"/>
          <w:color w:val="233241"/>
          <w:sz w:val="16"/>
        </w:rPr>
        <w:t>Reverse proxy or AWS load balancer with TLS</w:t>
      </w:r>
      <w:r>
        <w:br/>
      </w:r>
      <w:r>
        <w:rPr>
          <w:rFonts w:ascii="Consolas" w:hAnsi="Consolas"/>
          <w:color w:val="233241"/>
          <w:sz w:val="16"/>
        </w:rPr>
        <w:t xml:space="preserve">  |</w:t>
      </w:r>
      <w:r>
        <w:br/>
      </w:r>
      <w:r>
        <w:rPr>
          <w:rFonts w:ascii="Consolas" w:hAnsi="Consolas"/>
          <w:color w:val="233241"/>
          <w:sz w:val="16"/>
        </w:rPr>
        <w:t>Amazon EC2 Linux instance</w:t>
      </w:r>
      <w:r>
        <w:br/>
      </w:r>
      <w:r>
        <w:rPr>
          <w:rFonts w:ascii="Consolas" w:hAnsi="Consolas"/>
          <w:color w:val="233241"/>
          <w:sz w:val="16"/>
        </w:rPr>
        <w:t xml:space="preserve">  ├── Python virtual environment</w:t>
      </w:r>
      <w:r>
        <w:br/>
      </w:r>
      <w:r>
        <w:rPr>
          <w:rFonts w:ascii="Consolas" w:hAnsi="Consolas"/>
          <w:color w:val="233241"/>
          <w:sz w:val="16"/>
        </w:rPr>
        <w:t xml:space="preserve">  ├── Streamlit process</w:t>
      </w:r>
      <w:r>
        <w:br/>
      </w:r>
      <w:r>
        <w:rPr>
          <w:rFonts w:ascii="Consolas" w:hAnsi="Consolas"/>
          <w:color w:val="233241"/>
          <w:sz w:val="16"/>
        </w:rPr>
        <w:t xml:space="preserve">  ├── Application source</w:t>
      </w:r>
      <w:r>
        <w:br/>
      </w:r>
      <w:r>
        <w:rPr>
          <w:rFonts w:ascii="Consolas" w:hAnsi="Consolas"/>
          <w:color w:val="233241"/>
          <w:sz w:val="16"/>
        </w:rPr>
        <w:t xml:space="preserve">  └── Trusted fitted model artifact</w:t>
      </w:r>
    </w:p>
    <w:p>
      <w:pPr>
        <w:pStyle w:val="Heading2"/>
      </w:pPr>
      <w:r>
        <w:t>Deployment procedure</w:t>
      </w:r>
    </w:p>
    <w:p>
      <w:pPr>
        <w:pStyle w:val="ListNumber"/>
        <w:spacing w:after="60"/>
      </w:pPr>
      <w:r>
        <w:t>Create an AWS account or use an existing authorized account; review the current EC2 pricing and regional availability.</w:t>
      </w:r>
    </w:p>
    <w:p>
      <w:pPr>
        <w:pStyle w:val="ListNumber"/>
        <w:spacing w:after="60"/>
      </w:pPr>
      <w:r>
        <w:t>Launch a Linux EC2 instance with a suitable size for the model and application. Use a supported connection method and protect the private key.</w:t>
      </w:r>
    </w:p>
    <w:p>
      <w:pPr>
        <w:pStyle w:val="ListNumber"/>
        <w:spacing w:after="60"/>
      </w:pPr>
      <w:r>
        <w:t>Configure a security group with least-privilege rules. Restrict SSH (port 22) to your IP or use a suitable managed connection method. Avoid opening unnecessary ports to the internet.</w:t>
      </w:r>
    </w:p>
    <w:p>
      <w:pPr>
        <w:pStyle w:val="ListNumber"/>
        <w:spacing w:after="60"/>
      </w:pPr>
      <w:r>
        <w:t>Connect to the instance using the AWS Console's EC2 connection instructions.</w:t>
      </w:r>
    </w:p>
    <w:p>
      <w:pPr>
        <w:pStyle w:val="ListNumber"/>
        <w:spacing w:after="60"/>
      </w:pPr>
      <w:r>
        <w:t>Install Python and Git if they are not already available on the selected image, then clone the GitHub repository or transfer the source securely.</w:t>
      </w:r>
    </w:p>
    <w:p>
      <w:pPr>
        <w:pStyle w:val="ListNumber"/>
        <w:spacing w:after="60"/>
      </w:pPr>
      <w:r>
        <w:t>Create a Python virtual environment and install the tested dependencies from requirements.txt.</w:t>
      </w:r>
    </w:p>
    <w:p>
      <w:pPr>
        <w:pStyle w:val="ListNumber"/>
        <w:spacing w:after="60"/>
      </w:pPr>
      <w:r>
        <w:t>Verify the model artifact and run the application locally on the instance before exposing it externally.</w:t>
      </w:r>
    </w:p>
    <w:p>
      <w:pPr>
        <w:pStyle w:val="ListNumber"/>
        <w:spacing w:after="60"/>
      </w:pPr>
      <w:r>
        <w:t>Configure Streamlit to bind to 0.0.0.0 on an application port such as 8501. Ensure networking permits access only through the intended public entry point.</w:t>
      </w:r>
    </w:p>
    <w:p>
      <w:pPr>
        <w:pStyle w:val="ListNumber"/>
        <w:spacing w:after="60"/>
      </w:pPr>
      <w:r>
        <w:t>Configure a systemd service or another suitable process supervisor so the application can restart after failure or reboot.</w:t>
      </w:r>
    </w:p>
    <w:p>
      <w:pPr>
        <w:pStyle w:val="ListNumber"/>
        <w:spacing w:after="60"/>
      </w:pPr>
      <w:r>
        <w:t>For a public production-style endpoint, configure HTTPS using an appropriate reverse proxy or AWS load-balancing and TLS setup. Do not treat direct unauthenticated HTTP access as a secure production deployment.</w:t>
      </w:r>
    </w:p>
    <w:p>
      <w:pPr>
        <w:pStyle w:val="ListNumber"/>
        <w:spacing w:after="60"/>
      </w:pPr>
      <w:r>
        <w:t>Test application availability, logs, restart behavior, resource usage and update procedure.</w:t>
      </w:r>
    </w:p>
    <w:p>
      <w:pPr>
        <w:pStyle w:val="ListNumber"/>
        <w:spacing w:after="60"/>
      </w:pPr>
      <w:r>
        <w:t>Set AWS budget alerts and shut down or terminate resources when they are no longer required.</w:t>
      </w:r>
    </w:p>
    <w:p>
      <w:pPr>
        <w:pStyle w:val="Heading2"/>
      </w:pPr>
      <w:r>
        <w:t>Example application startup commands</w:t>
      </w:r>
    </w:p>
    <w:p>
      <w:pPr>
        <w:spacing w:before="80" w:after="140"/>
        <w:ind w:left="259" w:right="259"/>
        <w:shd w:fill="F1F5F9"/>
      </w:pPr>
      <w:r>
        <w:rPr>
          <w:rFonts w:ascii="Consolas" w:hAnsi="Consolas"/>
          <w:color w:val="233241"/>
          <w:sz w:val="16"/>
        </w:rPr>
        <w:t>python3 -m venv .venv</w:t>
      </w:r>
      <w:r>
        <w:br/>
      </w:r>
      <w:r>
        <w:rPr>
          <w:rFonts w:ascii="Consolas" w:hAnsi="Consolas"/>
          <w:color w:val="233241"/>
          <w:sz w:val="16"/>
        </w:rPr>
        <w:t>source .venv/bin/activate</w:t>
      </w:r>
      <w:r>
        <w:br/>
      </w:r>
      <w:r>
        <w:rPr>
          <w:rFonts w:ascii="Consolas" w:hAnsi="Consolas"/>
          <w:color w:val="233241"/>
          <w:sz w:val="16"/>
        </w:rPr>
        <w:t>pip install -r requirements.txt</w:t>
      </w:r>
      <w:r>
        <w:br/>
      </w:r>
      <w:r>
        <w:rPr>
          <w:rFonts w:ascii="Consolas" w:hAnsi="Consolas"/>
          <w:color w:val="233241"/>
          <w:sz w:val="16"/>
        </w:rPr>
      </w:r>
      <w:r>
        <w:br/>
      </w:r>
      <w:r>
        <w:rPr>
          <w:rFonts w:ascii="Consolas" w:hAnsi="Consolas"/>
          <w:color w:val="233241"/>
          <w:sz w:val="16"/>
        </w:rPr>
        <w:t>streamlit run frontend/app.py \</w:t>
      </w:r>
      <w:r>
        <w:br/>
      </w:r>
      <w:r>
        <w:rPr>
          <w:rFonts w:ascii="Consolas" w:hAnsi="Consolas"/>
          <w:color w:val="233241"/>
          <w:sz w:val="16"/>
        </w:rPr>
        <w:t xml:space="preserve">  --server.address 0.0.0.0 \</w:t>
      </w:r>
      <w:r>
        <w:br/>
      </w:r>
      <w:r>
        <w:rPr>
          <w:rFonts w:ascii="Consolas" w:hAnsi="Consolas"/>
          <w:color w:val="233241"/>
          <w:sz w:val="16"/>
        </w:rPr>
        <w:t xml:space="preserve">  --server.port 8501</w:t>
      </w:r>
    </w:p>
    <w:p>
      <w:r>
        <w:t>The command above starts Streamlit in the foreground. It does not configure HTTPS, a firewall, a process supervisor or production access controls. Complete those tasks before using the endpoint as a public service.</w:t>
      </w:r>
    </w:p>
    <w:p>
      <w:pPr>
        <w:pStyle w:val="Heading2"/>
      </w:pPr>
      <w:r>
        <w:t>AWS operating checklist</w:t>
      </w:r>
    </w:p>
    <w:p>
      <w:pPr>
        <w:pStyle w:val="ListBullet"/>
        <w:spacing w:after="40"/>
      </w:pPr>
      <w:r>
        <w:t>Use least-privilege IAM permissions and secure administrative access.</w:t>
      </w:r>
    </w:p>
    <w:p>
      <w:pPr>
        <w:pStyle w:val="ListBullet"/>
        <w:spacing w:after="40"/>
      </w:pPr>
      <w:r>
        <w:t>Keep the operating system and Python dependencies updated.</w:t>
      </w:r>
    </w:p>
    <w:p>
      <w:pPr>
        <w:pStyle w:val="ListBullet"/>
        <w:spacing w:after="40"/>
      </w:pPr>
      <w:r>
        <w:t>Use HTTPS for public traffic and configure an appropriate domain and certificate if required.</w:t>
      </w:r>
    </w:p>
    <w:p>
      <w:pPr>
        <w:pStyle w:val="ListBullet"/>
        <w:spacing w:after="40"/>
      </w:pPr>
      <w:r>
        <w:t>Monitor logs and system metrics while avoiding sensitive input logging.</w:t>
      </w:r>
    </w:p>
    <w:p>
      <w:pPr>
        <w:pStyle w:val="ListBullet"/>
        <w:spacing w:after="40"/>
      </w:pPr>
      <w:r>
        <w:t>Set cost alerts and understand that compute, storage, data transfer and related services may incur charges.</w:t>
      </w:r>
    </w:p>
    <w:p>
      <w:r>
        <w:t>Useful references: https://docs.aws.amazon.com/ec2/ and https://docs.aws.amazon.com/AWSEC2/latest/UserGuide/creating-security-group.html</w:t>
      </w:r>
    </w:p>
    <w:p>
      <w:pPr>
        <w:pStyle w:val="Heading1"/>
      </w:pPr>
      <w:r>
        <w:t>16. Testing and Quality Checklist</w:t>
      </w:r>
    </w:p>
    <w:p>
      <w:pPr>
        <w:pStyle w:val="ListBullet"/>
        <w:spacing w:after="40"/>
      </w:pPr>
      <w:r>
        <w:t>The app starts from the documented command in a clean environment.</w:t>
      </w:r>
    </w:p>
    <w:p>
      <w:pPr>
        <w:pStyle w:val="ListBullet"/>
        <w:spacing w:after="40"/>
      </w:pPr>
      <w:r>
        <w:t>The trained pipeline loads without version or path errors.</w:t>
      </w:r>
    </w:p>
    <w:p>
      <w:pPr>
        <w:pStyle w:val="ListBullet"/>
        <w:spacing w:after="40"/>
      </w:pPr>
      <w:r>
        <w:t>Input fields validate types, ranges, missing values and invalid values.</w:t>
      </w:r>
    </w:p>
    <w:p>
      <w:pPr>
        <w:pStyle w:val="ListBullet"/>
        <w:spacing w:after="40"/>
      </w:pPr>
      <w:r>
        <w:t>Prediction output is finite and within the expected probability range.</w:t>
      </w:r>
    </w:p>
    <w:p>
      <w:pPr>
        <w:pStyle w:val="ListBullet"/>
        <w:spacing w:after="40"/>
      </w:pPr>
      <w:r>
        <w:t>The app handles missing model artifacts and unexpected errors gracefully.</w:t>
      </w:r>
    </w:p>
    <w:p>
      <w:pPr>
        <w:pStyle w:val="ListBullet"/>
        <w:spacing w:after="40"/>
      </w:pPr>
      <w:r>
        <w:t>Model metrics are calculated on held-out data and match the saved evaluation report.</w:t>
      </w:r>
    </w:p>
    <w:p>
      <w:pPr>
        <w:pStyle w:val="ListBullet"/>
        <w:spacing w:after="40"/>
      </w:pPr>
      <w:r>
        <w:t>Preprocessing is fitted only on training data and is reused unchanged during inference.</w:t>
      </w:r>
    </w:p>
    <w:p>
      <w:pPr>
        <w:pStyle w:val="ListBullet"/>
        <w:spacing w:after="40"/>
      </w:pPr>
      <w:r>
        <w:t>No individual prediction history is written to persistent storage.</w:t>
      </w:r>
    </w:p>
    <w:p>
      <w:pPr>
        <w:pStyle w:val="ListBullet"/>
        <w:spacing w:after="40"/>
      </w:pPr>
      <w:r>
        <w:t>No secrets or prohibited data are committed to the repository.</w:t>
      </w:r>
    </w:p>
    <w:p>
      <w:pPr>
        <w:pStyle w:val="ListBullet"/>
        <w:spacing w:after="40"/>
      </w:pPr>
      <w:r>
        <w:t>The public deployment has been tested after a fresh start and after code updates.</w:t>
      </w:r>
    </w:p>
    <w:p>
      <w:pPr>
        <w:pStyle w:val="ListBullet"/>
        <w:spacing w:after="40"/>
      </w:pPr>
      <w:r>
        <w:t>README explains dataset provenance, target definition, setup, evaluation, limitations and deployment.</w:t>
      </w:r>
    </w:p>
    <w:p>
      <w:pPr>
        <w:pStyle w:val="Heading1"/>
      </w:pPr>
      <w:r>
        <w:t>17. Six-Week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123052"/>
          </w:tcPr>
          <w:p>
            <w:pPr>
              <w:spacing w:after="20"/>
            </w:pPr>
            <w:r/>
            <w:r>
              <w:rPr>
                <w:rFonts w:ascii="Aptos" w:hAnsi="Aptos"/>
                <w:b/>
                <w:color w:val="FFFFFF"/>
                <w:sz w:val="17"/>
              </w:rPr>
              <w:t>Week</w:t>
            </w:r>
          </w:p>
        </w:tc>
        <w:tc>
          <w:tcPr>
            <w:tcW w:type="dxa" w:w="3024"/>
            <w:vAlign w:val="center"/>
            <w:shd w:fill="123052"/>
          </w:tcPr>
          <w:p>
            <w:pPr>
              <w:spacing w:after="20"/>
            </w:pPr>
            <w:r/>
            <w:r>
              <w:rPr>
                <w:rFonts w:ascii="Aptos" w:hAnsi="Aptos"/>
                <w:b/>
                <w:color w:val="FFFFFF"/>
                <w:sz w:val="17"/>
              </w:rPr>
              <w:t>Focus</w:t>
            </w:r>
          </w:p>
        </w:tc>
        <w:tc>
          <w:tcPr>
            <w:tcW w:type="dxa" w:w="5760"/>
            <w:vAlign w:val="center"/>
            <w:shd w:fill="123052"/>
          </w:tcPr>
          <w:p>
            <w:pPr>
              <w:spacing w:after="20"/>
            </w:pPr>
            <w:r/>
            <w:r>
              <w:rPr>
                <w:rFonts w:ascii="Aptos" w:hAnsi="Aptos"/>
                <w:b/>
                <w:color w:val="FFFFFF"/>
                <w:sz w:val="17"/>
              </w:rPr>
              <w:t>Deliverable</w:t>
            </w:r>
          </w:p>
        </w:tc>
      </w:tr>
      <w:tr>
        <w:tc>
          <w:tcPr>
            <w:tcW w:type="dxa" w:w="1080"/>
            <w:vAlign w:val="center"/>
          </w:tcPr>
          <w:p>
            <w:pPr>
              <w:spacing w:after="20"/>
            </w:pPr>
            <w:r/>
            <w:r>
              <w:rPr>
                <w:rFonts w:ascii="Aptos" w:hAnsi="Aptos"/>
                <w:b w:val="0"/>
                <w:sz w:val="16"/>
              </w:rPr>
              <w:t>1</w:t>
            </w:r>
          </w:p>
        </w:tc>
        <w:tc>
          <w:tcPr>
            <w:tcW w:type="dxa" w:w="3024"/>
            <w:vAlign w:val="center"/>
          </w:tcPr>
          <w:p>
            <w:pPr>
              <w:spacing w:after="20"/>
            </w:pPr>
            <w:r/>
            <w:r>
              <w:rPr>
                <w:rFonts w:ascii="Aptos" w:hAnsi="Aptos"/>
                <w:b w:val="0"/>
                <w:sz w:val="16"/>
              </w:rPr>
              <w:t>Data understanding and EDA</w:t>
            </w:r>
          </w:p>
        </w:tc>
        <w:tc>
          <w:tcPr>
            <w:tcW w:type="dxa" w:w="5760"/>
            <w:vAlign w:val="center"/>
          </w:tcPr>
          <w:p>
            <w:pPr>
              <w:spacing w:after="20"/>
            </w:pPr>
            <w:r/>
            <w:r>
              <w:rPr>
                <w:rFonts w:ascii="Aptos" w:hAnsi="Aptos"/>
                <w:b w:val="0"/>
                <w:sz w:val="16"/>
              </w:rPr>
              <w:t>Data dictionary, quality report, target analysis and EDA findings</w:t>
            </w:r>
          </w:p>
        </w:tc>
      </w:tr>
      <w:tr>
        <w:tc>
          <w:tcPr>
            <w:tcW w:type="dxa" w:w="1080"/>
            <w:vAlign w:val="center"/>
            <w:shd w:fill="F1F5F9"/>
          </w:tcPr>
          <w:p>
            <w:pPr>
              <w:spacing w:after="20"/>
            </w:pPr>
            <w:r/>
            <w:r>
              <w:rPr>
                <w:rFonts w:ascii="Aptos" w:hAnsi="Aptos"/>
                <w:b w:val="0"/>
                <w:sz w:val="16"/>
              </w:rPr>
              <w:t>2</w:t>
            </w:r>
          </w:p>
        </w:tc>
        <w:tc>
          <w:tcPr>
            <w:tcW w:type="dxa" w:w="3024"/>
            <w:vAlign w:val="center"/>
            <w:shd w:fill="F1F5F9"/>
          </w:tcPr>
          <w:p>
            <w:pPr>
              <w:spacing w:after="20"/>
            </w:pPr>
            <w:r/>
            <w:r>
              <w:rPr>
                <w:rFonts w:ascii="Aptos" w:hAnsi="Aptos"/>
                <w:b w:val="0"/>
                <w:sz w:val="16"/>
              </w:rPr>
              <w:t>Feature engineering</w:t>
            </w:r>
          </w:p>
        </w:tc>
        <w:tc>
          <w:tcPr>
            <w:tcW w:type="dxa" w:w="5760"/>
            <w:vAlign w:val="center"/>
            <w:shd w:fill="F1F5F9"/>
          </w:tcPr>
          <w:p>
            <w:pPr>
              <w:spacing w:after="20"/>
            </w:pPr>
            <w:r/>
            <w:r>
              <w:rPr>
                <w:rFonts w:ascii="Aptos" w:hAnsi="Aptos"/>
                <w:b w:val="0"/>
                <w:sz w:val="16"/>
              </w:rPr>
              <w:t>Reusable preprocessing pipeline and documented feature definitions</w:t>
            </w:r>
          </w:p>
        </w:tc>
      </w:tr>
      <w:tr>
        <w:tc>
          <w:tcPr>
            <w:tcW w:type="dxa" w:w="1080"/>
            <w:vAlign w:val="center"/>
          </w:tcPr>
          <w:p>
            <w:pPr>
              <w:spacing w:after="20"/>
            </w:pPr>
            <w:r/>
            <w:r>
              <w:rPr>
                <w:rFonts w:ascii="Aptos" w:hAnsi="Aptos"/>
                <w:b w:val="0"/>
                <w:sz w:val="16"/>
              </w:rPr>
              <w:t>3</w:t>
            </w:r>
          </w:p>
        </w:tc>
        <w:tc>
          <w:tcPr>
            <w:tcW w:type="dxa" w:w="3024"/>
            <w:vAlign w:val="center"/>
          </w:tcPr>
          <w:p>
            <w:pPr>
              <w:spacing w:after="20"/>
            </w:pPr>
            <w:r/>
            <w:r>
              <w:rPr>
                <w:rFonts w:ascii="Aptos" w:hAnsi="Aptos"/>
                <w:b w:val="0"/>
                <w:sz w:val="16"/>
              </w:rPr>
              <w:t>Model training</w:t>
            </w:r>
          </w:p>
        </w:tc>
        <w:tc>
          <w:tcPr>
            <w:tcW w:type="dxa" w:w="5760"/>
            <w:vAlign w:val="center"/>
          </w:tcPr>
          <w:p>
            <w:pPr>
              <w:spacing w:after="20"/>
            </w:pPr>
            <w:r/>
            <w:r>
              <w:rPr>
                <w:rFonts w:ascii="Aptos" w:hAnsi="Aptos"/>
                <w:b w:val="0"/>
                <w:sz w:val="16"/>
              </w:rPr>
              <w:t>Baseline and comparison models with validation workflow</w:t>
            </w:r>
          </w:p>
        </w:tc>
      </w:tr>
      <w:tr>
        <w:tc>
          <w:tcPr>
            <w:tcW w:type="dxa" w:w="1080"/>
            <w:vAlign w:val="center"/>
            <w:shd w:fill="F1F5F9"/>
          </w:tcPr>
          <w:p>
            <w:pPr>
              <w:spacing w:after="20"/>
            </w:pPr>
            <w:r/>
            <w:r>
              <w:rPr>
                <w:rFonts w:ascii="Aptos" w:hAnsi="Aptos"/>
                <w:b w:val="0"/>
                <w:sz w:val="16"/>
              </w:rPr>
              <w:t>4</w:t>
            </w:r>
          </w:p>
        </w:tc>
        <w:tc>
          <w:tcPr>
            <w:tcW w:type="dxa" w:w="3024"/>
            <w:vAlign w:val="center"/>
            <w:shd w:fill="F1F5F9"/>
          </w:tcPr>
          <w:p>
            <w:pPr>
              <w:spacing w:after="20"/>
            </w:pPr>
            <w:r/>
            <w:r>
              <w:rPr>
                <w:rFonts w:ascii="Aptos" w:hAnsi="Aptos"/>
                <w:b w:val="0"/>
                <w:sz w:val="16"/>
              </w:rPr>
              <w:t>Evaluation and explainability</w:t>
            </w:r>
          </w:p>
        </w:tc>
        <w:tc>
          <w:tcPr>
            <w:tcW w:type="dxa" w:w="5760"/>
            <w:vAlign w:val="center"/>
            <w:shd w:fill="F1F5F9"/>
          </w:tcPr>
          <w:p>
            <w:pPr>
              <w:spacing w:after="20"/>
            </w:pPr>
            <w:r/>
            <w:r>
              <w:rPr>
                <w:rFonts w:ascii="Aptos" w:hAnsi="Aptos"/>
                <w:b w:val="0"/>
                <w:sz w:val="16"/>
              </w:rPr>
              <w:t>Metrics report, calibration analysis, SHAP interpretation and risk segmentation</w:t>
            </w:r>
          </w:p>
        </w:tc>
      </w:tr>
      <w:tr>
        <w:tc>
          <w:tcPr>
            <w:tcW w:type="dxa" w:w="1080"/>
            <w:vAlign w:val="center"/>
          </w:tcPr>
          <w:p>
            <w:pPr>
              <w:spacing w:after="20"/>
            </w:pPr>
            <w:r/>
            <w:r>
              <w:rPr>
                <w:rFonts w:ascii="Aptos" w:hAnsi="Aptos"/>
                <w:b w:val="0"/>
                <w:sz w:val="16"/>
              </w:rPr>
              <w:t>5</w:t>
            </w:r>
          </w:p>
        </w:tc>
        <w:tc>
          <w:tcPr>
            <w:tcW w:type="dxa" w:w="3024"/>
            <w:vAlign w:val="center"/>
          </w:tcPr>
          <w:p>
            <w:pPr>
              <w:spacing w:after="20"/>
            </w:pPr>
            <w:r/>
            <w:r>
              <w:rPr>
                <w:rFonts w:ascii="Aptos" w:hAnsi="Aptos"/>
                <w:b w:val="0"/>
                <w:sz w:val="16"/>
              </w:rPr>
              <w:t>Streamlit dashboard</w:t>
            </w:r>
          </w:p>
        </w:tc>
        <w:tc>
          <w:tcPr>
            <w:tcW w:type="dxa" w:w="5760"/>
            <w:vAlign w:val="center"/>
          </w:tcPr>
          <w:p>
            <w:pPr>
              <w:spacing w:after="20"/>
            </w:pPr>
            <w:r/>
            <w:r>
              <w:rPr>
                <w:rFonts w:ascii="Aptos" w:hAnsi="Aptos"/>
                <w:b w:val="0"/>
                <w:sz w:val="16"/>
              </w:rPr>
              <w:t>Portfolio analytics, borrower assessment and scenario-analysis pages</w:t>
            </w:r>
          </w:p>
        </w:tc>
      </w:tr>
      <w:tr>
        <w:tc>
          <w:tcPr>
            <w:tcW w:type="dxa" w:w="1080"/>
            <w:vAlign w:val="center"/>
            <w:shd w:fill="F1F5F9"/>
          </w:tcPr>
          <w:p>
            <w:pPr>
              <w:spacing w:after="20"/>
            </w:pPr>
            <w:r/>
            <w:r>
              <w:rPr>
                <w:rFonts w:ascii="Aptos" w:hAnsi="Aptos"/>
                <w:b w:val="0"/>
                <w:sz w:val="16"/>
              </w:rPr>
              <w:t>6</w:t>
            </w:r>
          </w:p>
        </w:tc>
        <w:tc>
          <w:tcPr>
            <w:tcW w:type="dxa" w:w="3024"/>
            <w:vAlign w:val="center"/>
            <w:shd w:fill="F1F5F9"/>
          </w:tcPr>
          <w:p>
            <w:pPr>
              <w:spacing w:after="20"/>
            </w:pPr>
            <w:r/>
            <w:r>
              <w:rPr>
                <w:rFonts w:ascii="Aptos" w:hAnsi="Aptos"/>
                <w:b w:val="0"/>
                <w:sz w:val="16"/>
              </w:rPr>
              <w:t>Deployment and portfolio polish</w:t>
            </w:r>
          </w:p>
        </w:tc>
        <w:tc>
          <w:tcPr>
            <w:tcW w:type="dxa" w:w="5760"/>
            <w:vAlign w:val="center"/>
            <w:shd w:fill="F1F5F9"/>
          </w:tcPr>
          <w:p>
            <w:pPr>
              <w:spacing w:after="20"/>
            </w:pPr>
            <w:r/>
            <w:r>
              <w:rPr>
                <w:rFonts w:ascii="Aptos" w:hAnsi="Aptos"/>
                <w:b w:val="0"/>
                <w:sz w:val="16"/>
              </w:rPr>
              <w:t>Public demo, README, tests, limitations and resume-ready project summary</w:t>
            </w:r>
          </w:p>
        </w:tc>
      </w:tr>
    </w:tbl>
    <w:p>
      <w:pPr>
        <w:spacing w:after="20"/>
      </w:pPr>
    </w:p>
    <w:p>
      <w:pPr>
        <w:pStyle w:val="Heading1"/>
      </w:pPr>
      <w:r>
        <w:t>18. Evaluation Criteria and Resume Description</w:t>
      </w:r>
    </w:p>
    <w:p>
      <w:pPr>
        <w:pStyle w:val="Heading2"/>
      </w:pPr>
      <w:r>
        <w:t>What a reviewer should be able to verify</w:t>
      </w:r>
    </w:p>
    <w:p>
      <w:pPr>
        <w:pStyle w:val="ListBullet"/>
        <w:spacing w:after="40"/>
      </w:pPr>
      <w:r>
        <w:t>The target and dataset limitations are defined accurately.</w:t>
      </w:r>
    </w:p>
    <w:p>
      <w:pPr>
        <w:pStyle w:val="ListBullet"/>
        <w:spacing w:after="40"/>
      </w:pPr>
      <w:r>
        <w:t>The modeling process is reproducible and leakage-aware.</w:t>
      </w:r>
    </w:p>
    <w:p>
      <w:pPr>
        <w:pStyle w:val="ListBullet"/>
        <w:spacing w:after="40"/>
      </w:pPr>
      <w:r>
        <w:t>The baseline and comparison models are evaluated fairly.</w:t>
      </w:r>
    </w:p>
    <w:p>
      <w:pPr>
        <w:pStyle w:val="ListBullet"/>
        <w:spacing w:after="40"/>
      </w:pPr>
      <w:r>
        <w:t>Metrics match the business problem and class imbalance.</w:t>
      </w:r>
    </w:p>
    <w:p>
      <w:pPr>
        <w:pStyle w:val="ListBullet"/>
        <w:spacing w:after="40"/>
      </w:pPr>
      <w:r>
        <w:t>Probability estimates and thresholds are explained responsibly.</w:t>
      </w:r>
    </w:p>
    <w:p>
      <w:pPr>
        <w:pStyle w:val="ListBullet"/>
        <w:spacing w:after="40"/>
      </w:pPr>
      <w:r>
        <w:t>The dashboard provides meaningful insights rather than only decorative charts.</w:t>
      </w:r>
    </w:p>
    <w:p>
      <w:pPr>
        <w:pStyle w:val="ListBullet"/>
        <w:spacing w:after="40"/>
      </w:pPr>
      <w:r>
        <w:t>Expected-loss calculations clearly separate model outputs from scenario assumptions.</w:t>
      </w:r>
    </w:p>
    <w:p>
      <w:pPr>
        <w:pStyle w:val="ListBullet"/>
        <w:spacing w:after="40"/>
      </w:pPr>
      <w:r>
        <w:t>The public demo and repository run using documented steps.</w:t>
      </w:r>
    </w:p>
    <w:p>
      <w:pPr>
        <w:pStyle w:val="Heading2"/>
      </w:pPr>
      <w:r>
        <w:t>Resume project entry</w:t>
      </w:r>
    </w:p>
    <w:p>
      <w:r>
        <w:rPr>
          <w:b/>
        </w:rPr>
        <w:t>FinSight AI — Credit Risk &amp; Lending Intelligence Platform</w:t>
      </w:r>
      <w:r>
        <w:br/>
        <w:t>Python, Pandas, scikit-learn, XGBoost, SHAP, Streamlit</w:t>
      </w:r>
    </w:p>
    <w:p>
      <w:pPr>
        <w:pStyle w:val="ListBullet"/>
        <w:spacing w:after="40"/>
      </w:pPr>
      <w:r>
        <w:t>Built an end-to-end credit-risk modeling pipeline with data-quality analysis, feature engineering, preprocessing and prediction of serious delinquency using borrower financial and credit-history features.</w:t>
      </w:r>
    </w:p>
    <w:p>
      <w:pPr>
        <w:pStyle w:val="ListBullet"/>
        <w:spacing w:after="40"/>
      </w:pPr>
      <w:r>
        <w:t>Compared Logistic Regression and tree-based models using ROC-AUC, PR-AUC, precision, recall and probability-calibration metrics; applied SHAP to interpret model outputs.</w:t>
      </w:r>
    </w:p>
    <w:p>
      <w:pPr>
        <w:pStyle w:val="ListBullet"/>
        <w:spacing w:after="40"/>
      </w:pPr>
      <w:r>
        <w:t>Developed an interactive Streamlit dashboard for borrower risk assessment, portfolio segmentation, model evaluation and PD × LGD × EAD loss scenarios using explicitly documented assumptions.</w:t>
      </w:r>
    </w:p>
    <w:p>
      <w:r>
        <w:t>Use these bullets only after implementing the corresponding functionality. Add actual measured performance values only when they are reproduced from the final evaluation workflow; do not invent results.</w:t>
      </w:r>
    </w:p>
    <w:p>
      <w:pPr>
        <w:pStyle w:val="Heading1"/>
      </w:pPr>
      <w:r>
        <w:t>19. Limitations and Future Enhancements</w:t>
      </w:r>
    </w:p>
    <w:p>
      <w:pPr>
        <w:pStyle w:val="Heading2"/>
      </w:pPr>
      <w:r>
        <w:t>Known limitations</w:t>
      </w:r>
    </w:p>
    <w:p>
      <w:pPr>
        <w:pStyle w:val="ListBullet"/>
        <w:spacing w:after="40"/>
      </w:pPr>
      <w:r>
        <w:t>The target measures serious delinquency within a defined time window, not every form of loan default.</w:t>
      </w:r>
    </w:p>
    <w:p>
      <w:pPr>
        <w:pStyle w:val="ListBullet"/>
        <w:spacing w:after="40"/>
      </w:pPr>
      <w:r>
        <w:t>A public dataset may not represent a current lender's customer base, underwriting policy or economic environment.</w:t>
      </w:r>
    </w:p>
    <w:p>
      <w:pPr>
        <w:pStyle w:val="ListBullet"/>
        <w:spacing w:after="40"/>
      </w:pPr>
      <w:r>
        <w:t>A model trained on historical data may reproduce historical biases or fail under distribution shift.</w:t>
      </w:r>
    </w:p>
    <w:p>
      <w:pPr>
        <w:pStyle w:val="ListBullet"/>
        <w:spacing w:after="40"/>
      </w:pPr>
      <w:r>
        <w:t>The initial dataset does not provide all inputs needed to learn robust LGD and EAD estimates.</w:t>
      </w:r>
    </w:p>
    <w:p>
      <w:pPr>
        <w:pStyle w:val="ListBullet"/>
        <w:spacing w:after="40"/>
      </w:pPr>
      <w:r>
        <w:t>SHAP explanations describe model behavior; they do not establish causality or fairness.</w:t>
      </w:r>
    </w:p>
    <w:p>
      <w:pPr>
        <w:pStyle w:val="ListBullet"/>
        <w:spacing w:after="40"/>
      </w:pPr>
      <w:r>
        <w:t>The application is a portfolio demonstration, not a validated regulated credit-decision system.</w:t>
      </w:r>
    </w:p>
    <w:p>
      <w:pPr>
        <w:pStyle w:val="Heading2"/>
      </w:pPr>
      <w:r>
        <w:t>Future enhancements</w:t>
      </w:r>
    </w:p>
    <w:p>
      <w:pPr>
        <w:pStyle w:val="ListBullet"/>
        <w:spacing w:after="40"/>
      </w:pPr>
      <w:r>
        <w:t>Use a dataset with richer loan-level outcomes, balances and recovery data to develop more defensible loss analytics.</w:t>
      </w:r>
    </w:p>
    <w:p>
      <w:pPr>
        <w:pStyle w:val="ListBullet"/>
        <w:spacing w:after="40"/>
      </w:pPr>
      <w:r>
        <w:t>Add time-based validation and model-drift monitoring if reliable timestamps are available.</w:t>
      </w:r>
    </w:p>
    <w:p>
      <w:pPr>
        <w:pStyle w:val="ListBullet"/>
        <w:spacing w:after="40"/>
      </w:pPr>
      <w:r>
        <w:t>Add a FastAPI inference service when a separate API, multi-client architecture or independent scaling is required.</w:t>
      </w:r>
    </w:p>
    <w:p>
      <w:pPr>
        <w:pStyle w:val="ListBullet"/>
        <w:spacing w:after="40"/>
      </w:pPr>
      <w:r>
        <w:t>Add automated tests and a lightweight continuous-integration workflow.</w:t>
      </w:r>
    </w:p>
    <w:p>
      <w:pPr>
        <w:pStyle w:val="ListBullet"/>
        <w:spacing w:after="40"/>
      </w:pPr>
      <w:r>
        <w:t>Investigate subgroup evaluation, explainability stability and fair-lending considerations before any real deployment.</w:t>
      </w:r>
    </w:p>
    <w:p>
      <w:pPr>
        <w:pStyle w:val="ListBullet"/>
        <w:spacing w:after="40"/>
      </w:pPr>
      <w:r>
        <w:t>Improve AWS operations with managed deployment, monitoring and secret-management services as the use case grows.</w:t>
      </w:r>
    </w:p>
    <w:p>
      <w:pPr>
        <w:pStyle w:val="Heading1"/>
      </w:pPr>
      <w:r>
        <w:t>Final Deliverables</w:t>
      </w:r>
    </w:p>
    <w:p>
      <w:pPr>
        <w:pStyle w:val="ListBullet"/>
        <w:spacing w:after="40"/>
      </w:pPr>
      <w:r>
        <w:t>A clean GitHub repository with setup and methodology documentation.</w:t>
      </w:r>
    </w:p>
    <w:p>
      <w:pPr>
        <w:pStyle w:val="ListBullet"/>
        <w:spacing w:after="40"/>
      </w:pPr>
      <w:r>
        <w:t>Five notebooks documenting data understanding, EDA, feature engineering, anomaly exploration and supervised modeling.</w:t>
      </w:r>
    </w:p>
    <w:p>
      <w:pPr>
        <w:pStyle w:val="ListBullet"/>
        <w:spacing w:after="40"/>
      </w:pPr>
      <w:r>
        <w:t>A reusable fitted preprocessing/model pipeline saved as a trusted artifact.</w:t>
      </w:r>
    </w:p>
    <w:p>
      <w:pPr>
        <w:pStyle w:val="ListBullet"/>
        <w:spacing w:after="40"/>
      </w:pPr>
      <w:r>
        <w:t>A model evaluation report with reproducible metrics and limitations.</w:t>
      </w:r>
    </w:p>
    <w:p>
      <w:pPr>
        <w:pStyle w:val="ListBullet"/>
        <w:spacing w:after="40"/>
      </w:pPr>
      <w:r>
        <w:t>A Streamlit dashboard with portfolio analysis, borrower assessment, model evaluation and loss scenarios.</w:t>
      </w:r>
    </w:p>
    <w:p>
      <w:pPr>
        <w:pStyle w:val="ListBullet"/>
        <w:spacing w:after="40"/>
      </w:pPr>
      <w:r>
        <w:t>A deployed demo and a documented AWS EC2 deployment path.</w:t>
      </w:r>
    </w:p>
    <w:p/>
    <w:p>
      <w:pPr>
        <w:jc w:val="center"/>
      </w:pPr>
      <w:r>
        <w:rPr>
          <w:b/>
          <w:color w:val="006887"/>
        </w:rPr>
        <w:t>End of Project Guide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FinSight AI • Project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6887"/>
        <w:sz w:val="16"/>
      </w:rPr>
      <w:t>FINSIGHT AI  |  CREDIT RISK &amp; LENDING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2F52"/>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688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64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2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