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1167" w14:textId="703D5FFA" w:rsidR="00775CBA" w:rsidRPr="003A7F1E" w:rsidRDefault="00775CBA" w:rsidP="003A7F1E">
      <w:pPr>
        <w:jc w:val="center"/>
        <w:rPr>
          <w:b/>
          <w:bCs/>
          <w:color w:val="002060"/>
          <w:sz w:val="32"/>
          <w:szCs w:val="32"/>
        </w:rPr>
      </w:pPr>
      <w:r w:rsidRPr="00775CBA">
        <w:rPr>
          <w:b/>
          <w:bCs/>
          <w:color w:val="002060"/>
          <w:sz w:val="32"/>
          <w:szCs w:val="32"/>
        </w:rPr>
        <w:t xml:space="preserve">Summary </w:t>
      </w:r>
      <w:r w:rsidRPr="003A7F1E">
        <w:rPr>
          <w:b/>
          <w:bCs/>
          <w:color w:val="002060"/>
          <w:sz w:val="32"/>
          <w:szCs w:val="32"/>
        </w:rPr>
        <w:t>and Recommendations</w:t>
      </w:r>
    </w:p>
    <w:p w14:paraId="299DC9F5" w14:textId="77777777" w:rsidR="00775CBA" w:rsidRPr="00775CBA" w:rsidRDefault="00775CBA" w:rsidP="003A7F1E">
      <w:pPr>
        <w:rPr>
          <w:b/>
          <w:bCs/>
          <w:sz w:val="32"/>
          <w:szCs w:val="32"/>
        </w:rPr>
      </w:pPr>
    </w:p>
    <w:p w14:paraId="38DB1AC0" w14:textId="77777777" w:rsidR="003A7F1E" w:rsidRPr="003A7F1E" w:rsidRDefault="003A7F1E" w:rsidP="003A7F1E">
      <w:pPr>
        <w:rPr>
          <w:b/>
          <w:bCs/>
        </w:rPr>
      </w:pPr>
      <w:r w:rsidRPr="003A7F1E">
        <w:rPr>
          <w:b/>
          <w:bCs/>
        </w:rPr>
        <w:t>Revenue Performance</w:t>
      </w:r>
    </w:p>
    <w:p w14:paraId="489E1A6E" w14:textId="77777777" w:rsidR="003A7F1E" w:rsidRPr="003A7F1E" w:rsidRDefault="003A7F1E" w:rsidP="003A7F1E">
      <w:pPr>
        <w:numPr>
          <w:ilvl w:val="0"/>
          <w:numId w:val="11"/>
        </w:numPr>
      </w:pPr>
      <w:r w:rsidRPr="003A7F1E">
        <w:t>Peak revenue: $12.01M in Week 53 (+28.8%).</w:t>
      </w:r>
    </w:p>
    <w:p w14:paraId="7468D044" w14:textId="77777777" w:rsidR="003A7F1E" w:rsidRPr="003A7F1E" w:rsidRDefault="003A7F1E" w:rsidP="003A7F1E">
      <w:pPr>
        <w:numPr>
          <w:ilvl w:val="0"/>
          <w:numId w:val="11"/>
        </w:numPr>
      </w:pPr>
      <w:r w:rsidRPr="003A7F1E">
        <w:t>Decline: 12.8% drop in Week 52; steady declines in Weeks 49-47 (-2.8% to -3.7%).</w:t>
      </w:r>
    </w:p>
    <w:p w14:paraId="740AA687" w14:textId="77777777" w:rsidR="003A7F1E" w:rsidRPr="003A7F1E" w:rsidRDefault="003A7F1E" w:rsidP="003A7F1E">
      <w:pPr>
        <w:numPr>
          <w:ilvl w:val="0"/>
          <w:numId w:val="11"/>
        </w:numPr>
      </w:pPr>
      <w:r w:rsidRPr="003A7F1E">
        <w:t>Takeaway: Seasonal spending shifts require targeted promotions.</w:t>
      </w:r>
    </w:p>
    <w:p w14:paraId="57A3838D" w14:textId="77777777" w:rsidR="003A7F1E" w:rsidRPr="003A7F1E" w:rsidRDefault="003A7F1E" w:rsidP="003A7F1E">
      <w:pPr>
        <w:rPr>
          <w:b/>
          <w:bCs/>
        </w:rPr>
      </w:pPr>
      <w:r w:rsidRPr="003A7F1E">
        <w:rPr>
          <w:b/>
          <w:bCs/>
        </w:rPr>
        <w:t>Card Usage &amp; Preferences</w:t>
      </w:r>
    </w:p>
    <w:p w14:paraId="36FA9177" w14:textId="77777777" w:rsidR="003A7F1E" w:rsidRPr="003A7F1E" w:rsidRDefault="003A7F1E" w:rsidP="003A7F1E">
      <w:pPr>
        <w:numPr>
          <w:ilvl w:val="0"/>
          <w:numId w:val="12"/>
        </w:numPr>
      </w:pPr>
      <w:r w:rsidRPr="003A7F1E">
        <w:t>Blue Card: $47M revenue, highest usage.</w:t>
      </w:r>
    </w:p>
    <w:p w14:paraId="45AB4285" w14:textId="77777777" w:rsidR="003A7F1E" w:rsidRPr="003A7F1E" w:rsidRDefault="003A7F1E" w:rsidP="003A7F1E">
      <w:pPr>
        <w:numPr>
          <w:ilvl w:val="0"/>
          <w:numId w:val="12"/>
        </w:numPr>
      </w:pPr>
      <w:r w:rsidRPr="003A7F1E">
        <w:t>Silver Card: $6M, low adoption.</w:t>
      </w:r>
    </w:p>
    <w:p w14:paraId="5623BC4F" w14:textId="77777777" w:rsidR="003A7F1E" w:rsidRPr="003A7F1E" w:rsidRDefault="003A7F1E" w:rsidP="003A7F1E">
      <w:pPr>
        <w:numPr>
          <w:ilvl w:val="0"/>
          <w:numId w:val="12"/>
        </w:numPr>
      </w:pPr>
      <w:r w:rsidRPr="003A7F1E">
        <w:t>Gold &amp; Platinum: Minimal engagement.</w:t>
      </w:r>
    </w:p>
    <w:p w14:paraId="33FC144B" w14:textId="77777777" w:rsidR="003A7F1E" w:rsidRPr="003A7F1E" w:rsidRDefault="003A7F1E" w:rsidP="003A7F1E">
      <w:pPr>
        <w:numPr>
          <w:ilvl w:val="0"/>
          <w:numId w:val="12"/>
        </w:numPr>
      </w:pPr>
      <w:r w:rsidRPr="003A7F1E">
        <w:t>Action Plan: Offer exclusive rewards &amp; promotions for premium cards.</w:t>
      </w:r>
    </w:p>
    <w:p w14:paraId="68A342CE" w14:textId="77777777" w:rsidR="003A7F1E" w:rsidRPr="003A7F1E" w:rsidRDefault="003A7F1E" w:rsidP="003A7F1E">
      <w:pPr>
        <w:rPr>
          <w:b/>
          <w:bCs/>
        </w:rPr>
      </w:pPr>
      <w:r w:rsidRPr="003A7F1E">
        <w:rPr>
          <w:b/>
          <w:bCs/>
        </w:rPr>
        <w:t>Customer Segmentation &amp; Spending</w:t>
      </w:r>
    </w:p>
    <w:p w14:paraId="5A46D690" w14:textId="77777777" w:rsidR="003A7F1E" w:rsidRPr="003A7F1E" w:rsidRDefault="003A7F1E" w:rsidP="003A7F1E">
      <w:pPr>
        <w:numPr>
          <w:ilvl w:val="0"/>
          <w:numId w:val="13"/>
        </w:numPr>
      </w:pPr>
      <w:r w:rsidRPr="003A7F1E">
        <w:t>Top spenders: Self-employed (25.53%), Businessmen (18.8%), White-collar (15.19%).</w:t>
      </w:r>
    </w:p>
    <w:p w14:paraId="6AA24A92" w14:textId="77777777" w:rsidR="003A7F1E" w:rsidRPr="003A7F1E" w:rsidRDefault="003A7F1E" w:rsidP="003A7F1E">
      <w:pPr>
        <w:numPr>
          <w:ilvl w:val="0"/>
          <w:numId w:val="13"/>
        </w:numPr>
      </w:pPr>
      <w:r w:rsidRPr="003A7F1E">
        <w:t>Delinquency risk: Highest in self-employed (1.66%), moderate for government employees (1.10%) &amp; businessmen (0.99%).</w:t>
      </w:r>
    </w:p>
    <w:p w14:paraId="6F13B155" w14:textId="77777777" w:rsidR="003A7F1E" w:rsidRPr="003A7F1E" w:rsidRDefault="003A7F1E" w:rsidP="003A7F1E">
      <w:pPr>
        <w:numPr>
          <w:ilvl w:val="0"/>
          <w:numId w:val="13"/>
        </w:numPr>
      </w:pPr>
      <w:r w:rsidRPr="003A7F1E">
        <w:t>Strategy: Use risk-based credit models &amp; loyalty programs for high-value customers.</w:t>
      </w:r>
    </w:p>
    <w:p w14:paraId="6186F21A" w14:textId="77777777" w:rsidR="003A7F1E" w:rsidRPr="003A7F1E" w:rsidRDefault="003A7F1E" w:rsidP="003A7F1E">
      <w:pPr>
        <w:rPr>
          <w:b/>
          <w:bCs/>
        </w:rPr>
      </w:pPr>
      <w:r w:rsidRPr="003A7F1E">
        <w:rPr>
          <w:b/>
          <w:bCs/>
        </w:rPr>
        <w:t>Transaction &amp; Activation Trends</w:t>
      </w:r>
    </w:p>
    <w:p w14:paraId="1102C2C3" w14:textId="77777777" w:rsidR="003A7F1E" w:rsidRPr="003A7F1E" w:rsidRDefault="003A7F1E" w:rsidP="003A7F1E">
      <w:pPr>
        <w:numPr>
          <w:ilvl w:val="0"/>
          <w:numId w:val="14"/>
        </w:numPr>
      </w:pPr>
      <w:r w:rsidRPr="003A7F1E">
        <w:t>Daily peak: $1M in transactions on high-spending days.</w:t>
      </w:r>
    </w:p>
    <w:p w14:paraId="31F67B39" w14:textId="77777777" w:rsidR="003A7F1E" w:rsidRPr="003A7F1E" w:rsidRDefault="003A7F1E" w:rsidP="003A7F1E">
      <w:pPr>
        <w:numPr>
          <w:ilvl w:val="0"/>
          <w:numId w:val="14"/>
        </w:numPr>
      </w:pPr>
      <w:r w:rsidRPr="003A7F1E">
        <w:t>Activation: 57.46% activate within 30 days; 42.54% inactive.</w:t>
      </w:r>
    </w:p>
    <w:p w14:paraId="57E1FF04" w14:textId="77777777" w:rsidR="003A7F1E" w:rsidRPr="003A7F1E" w:rsidRDefault="003A7F1E" w:rsidP="003A7F1E">
      <w:pPr>
        <w:numPr>
          <w:ilvl w:val="0"/>
          <w:numId w:val="14"/>
        </w:numPr>
      </w:pPr>
      <w:r w:rsidRPr="003A7F1E">
        <w:t>Recommendation: Improve onboarding with targeted activation campaigns &amp; first-use benefits.</w:t>
      </w:r>
    </w:p>
    <w:p w14:paraId="2B14AAE9" w14:textId="77777777" w:rsidR="003A7F1E" w:rsidRDefault="003A7F1E" w:rsidP="003A7F1E">
      <w:pPr>
        <w:rPr>
          <w:b/>
          <w:bCs/>
          <w:color w:val="002060"/>
          <w:sz w:val="32"/>
          <w:szCs w:val="32"/>
        </w:rPr>
      </w:pPr>
    </w:p>
    <w:p w14:paraId="6D85ECAC" w14:textId="45D58323" w:rsidR="003A7F1E" w:rsidRDefault="003A7F1E" w:rsidP="003A7F1E">
      <w:pPr>
        <w:ind w:firstLine="360"/>
        <w:jc w:val="center"/>
        <w:rPr>
          <w:b/>
          <w:bCs/>
          <w:color w:val="002060"/>
          <w:sz w:val="32"/>
          <w:szCs w:val="32"/>
        </w:rPr>
      </w:pPr>
      <w:r w:rsidRPr="00775CBA">
        <w:rPr>
          <w:b/>
          <w:bCs/>
          <w:color w:val="002060"/>
          <w:sz w:val="32"/>
          <w:szCs w:val="32"/>
        </w:rPr>
        <w:t xml:space="preserve">Recommendations </w:t>
      </w:r>
      <w:r w:rsidRPr="003A7F1E">
        <w:rPr>
          <w:b/>
          <w:bCs/>
          <w:color w:val="002060"/>
          <w:sz w:val="32"/>
          <w:szCs w:val="32"/>
        </w:rPr>
        <w:t xml:space="preserve">and </w:t>
      </w:r>
      <w:r w:rsidRPr="00775CBA">
        <w:rPr>
          <w:b/>
          <w:bCs/>
          <w:color w:val="002060"/>
          <w:sz w:val="32"/>
          <w:szCs w:val="32"/>
        </w:rPr>
        <w:t>Growth</w:t>
      </w:r>
      <w:r w:rsidR="00775CBA" w:rsidRPr="00775CBA">
        <w:rPr>
          <w:b/>
          <w:bCs/>
          <w:color w:val="002060"/>
          <w:sz w:val="32"/>
          <w:szCs w:val="32"/>
        </w:rPr>
        <w:t xml:space="preserve"> Opportunities</w:t>
      </w:r>
    </w:p>
    <w:p w14:paraId="7A929424" w14:textId="77777777" w:rsidR="003A7F1E" w:rsidRDefault="003A7F1E" w:rsidP="003A7F1E">
      <w:pPr>
        <w:ind w:firstLine="360"/>
        <w:jc w:val="center"/>
        <w:rPr>
          <w:b/>
          <w:bCs/>
          <w:color w:val="002060"/>
          <w:sz w:val="32"/>
          <w:szCs w:val="32"/>
        </w:rPr>
      </w:pPr>
    </w:p>
    <w:p w14:paraId="6D34533B" w14:textId="2F0F0029" w:rsidR="00775CBA" w:rsidRPr="00775CBA" w:rsidRDefault="00775CBA" w:rsidP="003A7F1E">
      <w:pPr>
        <w:rPr>
          <w:b/>
          <w:bCs/>
          <w:color w:val="002060"/>
          <w:sz w:val="32"/>
          <w:szCs w:val="32"/>
        </w:rPr>
      </w:pPr>
      <w:r w:rsidRPr="00775CBA">
        <w:rPr>
          <w:b/>
          <w:bCs/>
        </w:rPr>
        <w:t>Revenue Optimization &amp; Growth</w:t>
      </w:r>
    </w:p>
    <w:p w14:paraId="0B69FA25" w14:textId="77777777" w:rsidR="00775CBA" w:rsidRPr="00775CBA" w:rsidRDefault="00775CBA" w:rsidP="003A7F1E">
      <w:pPr>
        <w:numPr>
          <w:ilvl w:val="0"/>
          <w:numId w:val="5"/>
        </w:numPr>
      </w:pPr>
      <w:r w:rsidRPr="00775CBA">
        <w:lastRenderedPageBreak/>
        <w:t>Introduce seasonal promotions to stabilize revenue dips and maximize peak revenue weeks.</w:t>
      </w:r>
    </w:p>
    <w:p w14:paraId="7BAE0CB8" w14:textId="44D863BB" w:rsidR="00775CBA" w:rsidRPr="00775CBA" w:rsidRDefault="00775CBA" w:rsidP="003A7F1E">
      <w:pPr>
        <w:numPr>
          <w:ilvl w:val="0"/>
          <w:numId w:val="5"/>
        </w:numPr>
      </w:pPr>
      <w:r w:rsidRPr="003A7F1E">
        <w:t>Analyse</w:t>
      </w:r>
      <w:r w:rsidRPr="00775CBA">
        <w:t xml:space="preserve"> transaction peaks to develop customer-specific spending incentives.</w:t>
      </w:r>
    </w:p>
    <w:p w14:paraId="5F2AE049" w14:textId="77777777" w:rsidR="00775CBA" w:rsidRPr="00775CBA" w:rsidRDefault="00775CBA" w:rsidP="003A7F1E">
      <w:pPr>
        <w:rPr>
          <w:b/>
          <w:bCs/>
        </w:rPr>
      </w:pPr>
      <w:r w:rsidRPr="00775CBA">
        <w:rPr>
          <w:b/>
          <w:bCs/>
        </w:rPr>
        <w:t>Driving Premium Card Usage</w:t>
      </w:r>
    </w:p>
    <w:p w14:paraId="0AEB2AA9" w14:textId="77777777" w:rsidR="00775CBA" w:rsidRPr="00775CBA" w:rsidRDefault="00775CBA" w:rsidP="003A7F1E">
      <w:pPr>
        <w:numPr>
          <w:ilvl w:val="0"/>
          <w:numId w:val="6"/>
        </w:numPr>
      </w:pPr>
      <w:r w:rsidRPr="00775CBA">
        <w:t>Enhance Platinum &amp; Gold card appeal by offering exclusive benefits like lower interest rates, premium services, and travel rewards.</w:t>
      </w:r>
    </w:p>
    <w:p w14:paraId="7AD05C93" w14:textId="77777777" w:rsidR="00775CBA" w:rsidRPr="00775CBA" w:rsidRDefault="00775CBA" w:rsidP="003A7F1E">
      <w:pPr>
        <w:numPr>
          <w:ilvl w:val="0"/>
          <w:numId w:val="6"/>
        </w:numPr>
      </w:pPr>
      <w:r w:rsidRPr="00775CBA">
        <w:t>Implement spending-based bonuses to encourage card upgrades.</w:t>
      </w:r>
    </w:p>
    <w:p w14:paraId="267C62AC" w14:textId="77777777" w:rsidR="00775CBA" w:rsidRPr="00775CBA" w:rsidRDefault="00775CBA" w:rsidP="003A7F1E">
      <w:pPr>
        <w:rPr>
          <w:b/>
          <w:bCs/>
        </w:rPr>
      </w:pPr>
      <w:r w:rsidRPr="00775CBA">
        <w:rPr>
          <w:b/>
          <w:bCs/>
        </w:rPr>
        <w:t>Strengthening Digital Transaction Engagement</w:t>
      </w:r>
    </w:p>
    <w:p w14:paraId="0CE23049" w14:textId="77777777" w:rsidR="00775CBA" w:rsidRPr="00775CBA" w:rsidRDefault="00775CBA" w:rsidP="003A7F1E">
      <w:pPr>
        <w:numPr>
          <w:ilvl w:val="0"/>
          <w:numId w:val="7"/>
        </w:numPr>
      </w:pPr>
      <w:r w:rsidRPr="00775CBA">
        <w:t>Offer cashback incentives for online transactions.</w:t>
      </w:r>
    </w:p>
    <w:p w14:paraId="5C632527" w14:textId="77777777" w:rsidR="00775CBA" w:rsidRPr="00775CBA" w:rsidRDefault="00775CBA" w:rsidP="003A7F1E">
      <w:pPr>
        <w:numPr>
          <w:ilvl w:val="0"/>
          <w:numId w:val="7"/>
        </w:numPr>
      </w:pPr>
      <w:r w:rsidRPr="00775CBA">
        <w:t>Collaborate with e-commerce and utility providers to introduce exclusive discounts for digital transactions.</w:t>
      </w:r>
    </w:p>
    <w:p w14:paraId="629531B1" w14:textId="77777777" w:rsidR="00775CBA" w:rsidRPr="00775CBA" w:rsidRDefault="00775CBA" w:rsidP="003A7F1E">
      <w:pPr>
        <w:rPr>
          <w:b/>
          <w:bCs/>
        </w:rPr>
      </w:pPr>
      <w:r w:rsidRPr="00775CBA">
        <w:rPr>
          <w:b/>
          <w:bCs/>
        </w:rPr>
        <w:t>Targeting High-Value Customers for Maximum Impact</w:t>
      </w:r>
    </w:p>
    <w:p w14:paraId="10A03C0E" w14:textId="77777777" w:rsidR="00775CBA" w:rsidRPr="00775CBA" w:rsidRDefault="00775CBA" w:rsidP="003A7F1E">
      <w:pPr>
        <w:numPr>
          <w:ilvl w:val="0"/>
          <w:numId w:val="8"/>
        </w:numPr>
      </w:pPr>
      <w:r w:rsidRPr="00775CBA">
        <w:t>Develop elite loyalty programs for businessmen and self-employed individuals, who drive the highest revenue.</w:t>
      </w:r>
    </w:p>
    <w:p w14:paraId="6E2C9603" w14:textId="77777777" w:rsidR="00775CBA" w:rsidRPr="00775CBA" w:rsidRDefault="00775CBA" w:rsidP="003A7F1E">
      <w:pPr>
        <w:numPr>
          <w:ilvl w:val="0"/>
          <w:numId w:val="8"/>
        </w:numPr>
      </w:pPr>
      <w:r w:rsidRPr="00775CBA">
        <w:t>Provide tiered rewards for government employees and white-collar professionals to enhance spending.</w:t>
      </w:r>
    </w:p>
    <w:p w14:paraId="3F83E262" w14:textId="77777777" w:rsidR="00775CBA" w:rsidRPr="00775CBA" w:rsidRDefault="00775CBA" w:rsidP="003A7F1E">
      <w:pPr>
        <w:rPr>
          <w:b/>
          <w:bCs/>
        </w:rPr>
      </w:pPr>
      <w:r w:rsidRPr="00775CBA">
        <w:rPr>
          <w:b/>
          <w:bCs/>
        </w:rPr>
        <w:t>Managing Delinquency &amp; Credit Risk Effectively</w:t>
      </w:r>
    </w:p>
    <w:p w14:paraId="419095A7" w14:textId="77777777" w:rsidR="00775CBA" w:rsidRPr="00775CBA" w:rsidRDefault="00775CBA" w:rsidP="003A7F1E">
      <w:pPr>
        <w:numPr>
          <w:ilvl w:val="0"/>
          <w:numId w:val="9"/>
        </w:numPr>
      </w:pPr>
      <w:r w:rsidRPr="00775CBA">
        <w:t>Implement AI-driven credit risk models to minimize exposure to high-risk borrowers.</w:t>
      </w:r>
    </w:p>
    <w:p w14:paraId="62CA0F84" w14:textId="77777777" w:rsidR="00775CBA" w:rsidRPr="00775CBA" w:rsidRDefault="00775CBA" w:rsidP="003A7F1E">
      <w:pPr>
        <w:numPr>
          <w:ilvl w:val="0"/>
          <w:numId w:val="9"/>
        </w:numPr>
      </w:pPr>
      <w:r w:rsidRPr="00775CBA">
        <w:t>Offer flexible repayment options for at-risk customers.</w:t>
      </w:r>
    </w:p>
    <w:p w14:paraId="7CC231B6" w14:textId="77777777" w:rsidR="00775CBA" w:rsidRPr="00775CBA" w:rsidRDefault="00775CBA" w:rsidP="003A7F1E">
      <w:pPr>
        <w:rPr>
          <w:b/>
          <w:bCs/>
        </w:rPr>
      </w:pPr>
      <w:r w:rsidRPr="00775CBA">
        <w:rPr>
          <w:b/>
          <w:bCs/>
        </w:rPr>
        <w:t>Enhancing Customer Activation &amp; Retention</w:t>
      </w:r>
    </w:p>
    <w:p w14:paraId="40FA0F80" w14:textId="77777777" w:rsidR="00775CBA" w:rsidRPr="00775CBA" w:rsidRDefault="00775CBA" w:rsidP="003A7F1E">
      <w:pPr>
        <w:numPr>
          <w:ilvl w:val="0"/>
          <w:numId w:val="10"/>
        </w:numPr>
      </w:pPr>
      <w:r w:rsidRPr="00775CBA">
        <w:t>Launch automated onboarding campaigns to engage inactive users.</w:t>
      </w:r>
    </w:p>
    <w:p w14:paraId="33C6E2FE" w14:textId="51E043C8" w:rsidR="003A7F1E" w:rsidRDefault="00775CBA" w:rsidP="003A7F1E">
      <w:pPr>
        <w:numPr>
          <w:ilvl w:val="0"/>
          <w:numId w:val="10"/>
        </w:numPr>
      </w:pPr>
      <w:r w:rsidRPr="00775CBA">
        <w:t>Provide exclusive benefits for first-time users to encourage immediate card usage.</w:t>
      </w:r>
    </w:p>
    <w:p w14:paraId="0CA59AE7" w14:textId="77777777" w:rsidR="003A7F1E" w:rsidRPr="003A7F1E" w:rsidRDefault="003A7F1E" w:rsidP="003A7F1E">
      <w:pPr>
        <w:ind w:left="720"/>
      </w:pPr>
    </w:p>
    <w:p w14:paraId="578F5077" w14:textId="2C04A615" w:rsidR="00775CBA" w:rsidRPr="003A7F1E" w:rsidRDefault="003A7F1E" w:rsidP="003A7F1E">
      <w:r w:rsidRPr="00775CBA">
        <w:t>Implementing these strategies will drive higher revenue, increase card usage, and improve credit risk management. Focusing on customer segmentation, digital adoption, and premium card engagement will enhance overall profitability and market positioning</w:t>
      </w:r>
    </w:p>
    <w:sectPr w:rsidR="00775CBA" w:rsidRPr="003A7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7585"/>
    <w:multiLevelType w:val="multilevel"/>
    <w:tmpl w:val="A38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C73AA"/>
    <w:multiLevelType w:val="multilevel"/>
    <w:tmpl w:val="352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1D88"/>
    <w:multiLevelType w:val="multilevel"/>
    <w:tmpl w:val="4E7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22AB1"/>
    <w:multiLevelType w:val="multilevel"/>
    <w:tmpl w:val="ED7C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96C"/>
    <w:multiLevelType w:val="multilevel"/>
    <w:tmpl w:val="CE16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85E17"/>
    <w:multiLevelType w:val="multilevel"/>
    <w:tmpl w:val="D3DE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62B24"/>
    <w:multiLevelType w:val="multilevel"/>
    <w:tmpl w:val="A07A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D3154"/>
    <w:multiLevelType w:val="multilevel"/>
    <w:tmpl w:val="1CA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224B0"/>
    <w:multiLevelType w:val="multilevel"/>
    <w:tmpl w:val="7B6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A0B45"/>
    <w:multiLevelType w:val="multilevel"/>
    <w:tmpl w:val="01C0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53AFE"/>
    <w:multiLevelType w:val="multilevel"/>
    <w:tmpl w:val="E92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37138"/>
    <w:multiLevelType w:val="multilevel"/>
    <w:tmpl w:val="780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4CA7"/>
    <w:multiLevelType w:val="multilevel"/>
    <w:tmpl w:val="DDDCF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C2AE1"/>
    <w:multiLevelType w:val="multilevel"/>
    <w:tmpl w:val="887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4745">
    <w:abstractNumId w:val="4"/>
  </w:num>
  <w:num w:numId="2" w16cid:durableId="766921800">
    <w:abstractNumId w:val="6"/>
  </w:num>
  <w:num w:numId="3" w16cid:durableId="875392213">
    <w:abstractNumId w:val="5"/>
  </w:num>
  <w:num w:numId="4" w16cid:durableId="1854176210">
    <w:abstractNumId w:val="12"/>
  </w:num>
  <w:num w:numId="5" w16cid:durableId="1981768029">
    <w:abstractNumId w:val="11"/>
  </w:num>
  <w:num w:numId="6" w16cid:durableId="1418556410">
    <w:abstractNumId w:val="13"/>
  </w:num>
  <w:num w:numId="7" w16cid:durableId="840245074">
    <w:abstractNumId w:val="2"/>
  </w:num>
  <w:num w:numId="8" w16cid:durableId="523980222">
    <w:abstractNumId w:val="7"/>
  </w:num>
  <w:num w:numId="9" w16cid:durableId="36054659">
    <w:abstractNumId w:val="3"/>
  </w:num>
  <w:num w:numId="10" w16cid:durableId="1406025400">
    <w:abstractNumId w:val="8"/>
  </w:num>
  <w:num w:numId="11" w16cid:durableId="1823888745">
    <w:abstractNumId w:val="0"/>
  </w:num>
  <w:num w:numId="12" w16cid:durableId="697705948">
    <w:abstractNumId w:val="9"/>
  </w:num>
  <w:num w:numId="13" w16cid:durableId="1972468587">
    <w:abstractNumId w:val="1"/>
  </w:num>
  <w:num w:numId="14" w16cid:durableId="184710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BA"/>
    <w:rsid w:val="00007769"/>
    <w:rsid w:val="003A7F1E"/>
    <w:rsid w:val="00775CBA"/>
    <w:rsid w:val="00C70B27"/>
    <w:rsid w:val="00E3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2C35"/>
  <w15:chartTrackingRefBased/>
  <w15:docId w15:val="{CD96EB51-ACCB-4B7E-BACF-3073FE45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CBA"/>
    <w:rPr>
      <w:rFonts w:eastAsiaTheme="majorEastAsia" w:cstheme="majorBidi"/>
      <w:color w:val="272727" w:themeColor="text1" w:themeTint="D8"/>
    </w:rPr>
  </w:style>
  <w:style w:type="paragraph" w:styleId="Title">
    <w:name w:val="Title"/>
    <w:basedOn w:val="Normal"/>
    <w:next w:val="Normal"/>
    <w:link w:val="TitleChar"/>
    <w:uiPriority w:val="10"/>
    <w:qFormat/>
    <w:rsid w:val="00775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CBA"/>
    <w:pPr>
      <w:spacing w:before="160"/>
      <w:jc w:val="center"/>
    </w:pPr>
    <w:rPr>
      <w:i/>
      <w:iCs/>
      <w:color w:val="404040" w:themeColor="text1" w:themeTint="BF"/>
    </w:rPr>
  </w:style>
  <w:style w:type="character" w:customStyle="1" w:styleId="QuoteChar">
    <w:name w:val="Quote Char"/>
    <w:basedOn w:val="DefaultParagraphFont"/>
    <w:link w:val="Quote"/>
    <w:uiPriority w:val="29"/>
    <w:rsid w:val="00775CBA"/>
    <w:rPr>
      <w:i/>
      <w:iCs/>
      <w:color w:val="404040" w:themeColor="text1" w:themeTint="BF"/>
    </w:rPr>
  </w:style>
  <w:style w:type="paragraph" w:styleId="ListParagraph">
    <w:name w:val="List Paragraph"/>
    <w:basedOn w:val="Normal"/>
    <w:uiPriority w:val="34"/>
    <w:qFormat/>
    <w:rsid w:val="00775CBA"/>
    <w:pPr>
      <w:ind w:left="720"/>
      <w:contextualSpacing/>
    </w:pPr>
  </w:style>
  <w:style w:type="character" w:styleId="IntenseEmphasis">
    <w:name w:val="Intense Emphasis"/>
    <w:basedOn w:val="DefaultParagraphFont"/>
    <w:uiPriority w:val="21"/>
    <w:qFormat/>
    <w:rsid w:val="00775CBA"/>
    <w:rPr>
      <w:i/>
      <w:iCs/>
      <w:color w:val="0F4761" w:themeColor="accent1" w:themeShade="BF"/>
    </w:rPr>
  </w:style>
  <w:style w:type="paragraph" w:styleId="IntenseQuote">
    <w:name w:val="Intense Quote"/>
    <w:basedOn w:val="Normal"/>
    <w:next w:val="Normal"/>
    <w:link w:val="IntenseQuoteChar"/>
    <w:uiPriority w:val="30"/>
    <w:qFormat/>
    <w:rsid w:val="00775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CBA"/>
    <w:rPr>
      <w:i/>
      <w:iCs/>
      <w:color w:val="0F4761" w:themeColor="accent1" w:themeShade="BF"/>
    </w:rPr>
  </w:style>
  <w:style w:type="character" w:styleId="IntenseReference">
    <w:name w:val="Intense Reference"/>
    <w:basedOn w:val="DefaultParagraphFont"/>
    <w:uiPriority w:val="32"/>
    <w:qFormat/>
    <w:rsid w:val="00775C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1558">
      <w:bodyDiv w:val="1"/>
      <w:marLeft w:val="0"/>
      <w:marRight w:val="0"/>
      <w:marTop w:val="0"/>
      <w:marBottom w:val="0"/>
      <w:divBdr>
        <w:top w:val="none" w:sz="0" w:space="0" w:color="auto"/>
        <w:left w:val="none" w:sz="0" w:space="0" w:color="auto"/>
        <w:bottom w:val="none" w:sz="0" w:space="0" w:color="auto"/>
        <w:right w:val="none" w:sz="0" w:space="0" w:color="auto"/>
      </w:divBdr>
    </w:div>
    <w:div w:id="949705111">
      <w:bodyDiv w:val="1"/>
      <w:marLeft w:val="0"/>
      <w:marRight w:val="0"/>
      <w:marTop w:val="0"/>
      <w:marBottom w:val="0"/>
      <w:divBdr>
        <w:top w:val="none" w:sz="0" w:space="0" w:color="auto"/>
        <w:left w:val="none" w:sz="0" w:space="0" w:color="auto"/>
        <w:bottom w:val="none" w:sz="0" w:space="0" w:color="auto"/>
        <w:right w:val="none" w:sz="0" w:space="0" w:color="auto"/>
      </w:divBdr>
    </w:div>
    <w:div w:id="1191600723">
      <w:bodyDiv w:val="1"/>
      <w:marLeft w:val="0"/>
      <w:marRight w:val="0"/>
      <w:marTop w:val="0"/>
      <w:marBottom w:val="0"/>
      <w:divBdr>
        <w:top w:val="none" w:sz="0" w:space="0" w:color="auto"/>
        <w:left w:val="none" w:sz="0" w:space="0" w:color="auto"/>
        <w:bottom w:val="none" w:sz="0" w:space="0" w:color="auto"/>
        <w:right w:val="none" w:sz="0" w:space="0" w:color="auto"/>
      </w:divBdr>
    </w:div>
    <w:div w:id="1204755743">
      <w:bodyDiv w:val="1"/>
      <w:marLeft w:val="0"/>
      <w:marRight w:val="0"/>
      <w:marTop w:val="0"/>
      <w:marBottom w:val="0"/>
      <w:divBdr>
        <w:top w:val="none" w:sz="0" w:space="0" w:color="auto"/>
        <w:left w:val="none" w:sz="0" w:space="0" w:color="auto"/>
        <w:bottom w:val="none" w:sz="0" w:space="0" w:color="auto"/>
        <w:right w:val="none" w:sz="0" w:space="0" w:color="auto"/>
      </w:divBdr>
    </w:div>
    <w:div w:id="1260213815">
      <w:bodyDiv w:val="1"/>
      <w:marLeft w:val="0"/>
      <w:marRight w:val="0"/>
      <w:marTop w:val="0"/>
      <w:marBottom w:val="0"/>
      <w:divBdr>
        <w:top w:val="none" w:sz="0" w:space="0" w:color="auto"/>
        <w:left w:val="none" w:sz="0" w:space="0" w:color="auto"/>
        <w:bottom w:val="none" w:sz="0" w:space="0" w:color="auto"/>
        <w:right w:val="none" w:sz="0" w:space="0" w:color="auto"/>
      </w:divBdr>
    </w:div>
    <w:div w:id="13577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SARKAR</dc:creator>
  <cp:keywords/>
  <dc:description/>
  <cp:lastModifiedBy>GOURAV SARKAR</cp:lastModifiedBy>
  <cp:revision>1</cp:revision>
  <dcterms:created xsi:type="dcterms:W3CDTF">2025-04-03T13:55:00Z</dcterms:created>
  <dcterms:modified xsi:type="dcterms:W3CDTF">2025-04-03T14:14:00Z</dcterms:modified>
</cp:coreProperties>
</file>