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i w:val="0"/>
          <w:color w:val="1B1B3A"/>
          <w:sz w:val="32"/>
        </w:rPr>
        <w:t>Robust Charging Infrastructure Design under Demand Uncertainty</w:t>
      </w:r>
    </w:p>
    <w:p>
      <w:pPr>
        <w:spacing w:before="0" w:after="20" w:line="240" w:lineRule="auto"/>
        <w:jc w:val="center"/>
      </w:pPr>
      <w:r>
        <w:rPr>
          <w:b w:val="0"/>
          <w:i/>
          <w:color w:val="555560"/>
          <w:sz w:val="21"/>
        </w:rPr>
        <w:t>A solar-powered charging station for a shared e-micromobility fleet — Executive Summary</w:t>
      </w:r>
    </w:p>
    <w:p>
      <w:pPr>
        <w:spacing w:before="0" w:after="60" w:line="240" w:lineRule="auto"/>
        <w:jc w:val="center"/>
        <w:pBdr>
          <w:bottom w:val="single" w:sz="12" w:space="1" w:color="2E86AB"/>
        </w:pBdr>
      </w:pPr>
      <w:r>
        <w:rPr>
          <w:b w:val="0"/>
          <w:i w:val="0"/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20 kWp PV · 0 kWh · 8 chargers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-61%  (£87,422/yr)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96%  (vs 85% naive)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16%  (4.6 tCO2/yr)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>
      <w:pPr>
        <w:spacing w:before="0" w:after="40" w:line="240" w:lineRule="auto"/>
      </w:pP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A shared-micromobility operator depot charges a mixed fleet of e-scooters, e-bikes and e-cargo bikes whose demand swings with season, weather, events and multi-year growth. This creates a sizing dilemma for a solar charging hub: one built for </w:t>
      </w:r>
      <w:r>
        <w:rPr>
          <w:b/>
          <w:sz w:val="19"/>
        </w:rPr>
        <w:t>average</w:t>
      </w:r>
      <w:r>
        <w:rPr>
          <w:b w:val="0"/>
          <w:sz w:val="19"/>
        </w:rPr>
        <w:t xml:space="preserve"> demand fails at peaks and strands the fleet, while one built for the </w:t>
      </w:r>
      <w:r>
        <w:rPr>
          <w:b/>
          <w:sz w:val="19"/>
        </w:rPr>
        <w:t>worst case</w:t>
      </w:r>
      <w:r>
        <w:rPr>
          <w:b w:val="0"/>
          <w:sz w:val="19"/>
        </w:rPr>
        <w:t xml:space="preserve"> sinks capital into rarely-used equipment. The dilemma sharpens under a </w:t>
      </w:r>
      <w:r>
        <w:rPr>
          <w:b/>
          <w:sz w:val="19"/>
        </w:rPr>
        <w:t>constrained grid connection</w:t>
      </w:r>
      <w:r>
        <w:rPr>
          <w:b w:val="0"/>
          <w:sz w:val="19"/>
        </w:rPr>
        <w:t xml:space="preserve"> — a higher import limit needs a costly DNO reinforcement — so the evening charging peak must be served from on-site solar and storage, across enough charge bays. Sizing becomes a decision under deep uncertainty: under-build and lose service; over-build and waste money. Demand is anchored to the REAL DfT Newcastle e-scooter trial (monthly trips, fleet size, deployment, trip distance), so the problem is posed on observed data, not assumption.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solution directly delivers </w:t>
      </w:r>
      <w:r>
        <w:rPr>
          <w:b/>
          <w:sz w:val="19"/>
        </w:rPr>
        <w:t>Theme 3</w:t>
      </w:r>
      <w:r>
        <w:rPr>
          <w:b w:val="0"/>
          <w:sz w:val="19"/>
        </w:rPr>
        <w:t xml:space="preserve"> (design of a solar-PV charging station for a shared fleet) and </w:t>
      </w:r>
      <w:r>
        <w:rPr>
          <w:b/>
          <w:sz w:val="19"/>
        </w:rPr>
        <w:t>Theme 2</w:t>
      </w:r>
      <w:r>
        <w:rPr>
          <w:b w:val="0"/>
          <w:sz w:val="19"/>
        </w:rPr>
        <w:t xml:space="preserve"> (modelling charge/discharge profiles under demand scenarios), producing an actionable station specification with uncertainty bounds. Its novelty is methodological: charging-station sizing is almost always </w:t>
      </w:r>
      <w:r>
        <w:rPr>
          <w:b/>
          <w:sz w:val="19"/>
        </w:rPr>
        <w:t>deterministic</w:t>
      </w:r>
      <w:r>
        <w:rPr>
          <w:b w:val="0"/>
          <w:sz w:val="19"/>
        </w:rPr>
        <w:t xml:space="preserve"> (a single demand forecast). We instead apply </w:t>
      </w:r>
      <w:r>
        <w:rPr>
          <w:b/>
          <w:sz w:val="19"/>
        </w:rPr>
        <w:t>robust optimisation — minimax-regret, maximin and CVaR — alongside a two-stage stochastic program</w:t>
      </w:r>
      <w:r>
        <w:rPr>
          <w:b w:val="0"/>
          <w:sz w:val="19"/>
        </w:rPr>
        <w:t xml:space="preserve">, choosing a design that performs across the entire demand space, and we define and quantify the </w:t>
      </w:r>
      <w:r>
        <w:rPr>
          <w:b/>
          <w:sz w:val="19"/>
        </w:rPr>
        <w:t>“value of robustness”</w:t>
      </w:r>
      <w:r>
        <w:rPr>
          <w:b w:val="0"/>
          <w:sz w:val="19"/>
        </w:rPr>
        <w:t xml:space="preserve">: the worst-case cost and lost service avoided by hedging. A correlated Monte-Carlo “demand regime” reproduces the realistic co-movement of trips, utilisation and growth, and exposes a subtle but important result — expected-value design </w:t>
      </w:r>
      <w:r>
        <w:rPr>
          <w:b/>
          <w:sz w:val="19"/>
        </w:rPr>
        <w:t>under-weights the correlated high-demand tail</w:t>
      </w:r>
      <w:r>
        <w:rPr>
          <w:b w:val="0"/>
          <w:sz w:val="19"/>
        </w:rPr>
        <w:t xml:space="preserve">, which is precisely why scenario-based robust methods are required here. A further, counter-intuitive finding falls out: because depot charging is flexible, </w:t>
      </w:r>
      <w:r>
        <w:rPr>
          <w:b/>
          <w:sz w:val="19"/>
        </w:rPr>
        <w:t>smart charging is the cheapest robustness lever</w:t>
      </w:r>
      <w:r>
        <w:rPr>
          <w:b w:val="0"/>
          <w:sz w:val="19"/>
        </w:rPr>
        <w:t xml:space="preserve"> — it flattens the load below the connection so that, at a grid-connected depot, a battery does not pay; storage becomes essential only as the connection weakens toward off-grid (~10 kW), a boundary we quantify. The recommendation is therefore solar + smart-managed bays, not capital-heavy storage.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pipeline (Figure 1) is: </w:t>
      </w:r>
      <w:r>
        <w:rPr>
          <w:b/>
          <w:sz w:val="19"/>
        </w:rPr>
        <w:t>(i)</w:t>
      </w:r>
      <w:r>
        <w:rPr>
          <w:b w:val="0"/>
          <w:sz w:val="19"/>
        </w:rPr>
        <w:t xml:space="preserve"> build Low/Medium/High demand scenarios from the real trial data, scaled across a year-on-year growth range into nine probability-weighted scenarios; </w:t>
      </w:r>
      <w:r>
        <w:rPr>
          <w:b/>
          <w:sz w:val="19"/>
        </w:rPr>
        <w:t>(ii)</w:t>
      </w:r>
      <w:r>
        <w:rPr>
          <w:b w:val="0"/>
          <w:sz w:val="19"/>
        </w:rPr>
        <w:t xml:space="preserve"> simulate an 8,760-hour energy balance for any design under the capped grid (PV → battery → capped grid → unmet demand), with every reported design re-optimised under an LP-optimal rolling-horizon dispatch; </w:t>
      </w:r>
      <w:r>
        <w:rPr>
          <w:b/>
          <w:sz w:val="19"/>
        </w:rPr>
        <w:t>(iii)</w:t>
      </w:r>
      <w:r>
        <w:rPr>
          <w:b w:val="0"/>
          <w:sz w:val="19"/>
        </w:rPr>
        <w:t xml:space="preserve"> evaluate all 150 designs (PV 5–25 kWp × battery 0–50 kWh × 4–20 chargers) against the nine scenarios, pricing unmet demand as lost service, to form a cost matrix; </w:t>
      </w:r>
      <w:r>
        <w:rPr>
          <w:b/>
          <w:sz w:val="19"/>
        </w:rPr>
        <w:t>(iv)</w:t>
      </w:r>
      <w:r>
        <w:rPr>
          <w:b w:val="0"/>
          <w:sz w:val="19"/>
        </w:rPr>
        <w:t xml:space="preserve"> apply five decision rules — naive, a two-stage stochastic program (expected cost), CVaR (risk-averse), minimax-regret and maximin — and map the cost-vs-robustness Pareto frontier; </w:t>
      </w:r>
      <w:r>
        <w:rPr>
          <w:b/>
          <w:sz w:val="19"/>
        </w:rPr>
        <w:t>(v)</w:t>
      </w:r>
      <w:r>
        <w:rPr>
          <w:b w:val="0"/>
          <w:sz w:val="19"/>
        </w:rPr>
        <w:t xml:space="preserve"> propagate uncertainty through a 500-sample correlated Monte-Carlo fan (with bootstrap 95% confidence intervals) and rank drivers with a tornado and global Sobol sensitivity; </w:t>
      </w:r>
      <w:r>
        <w:rPr>
          <w:b/>
          <w:sz w:val="19"/>
        </w:rPr>
        <w:t>(vi)</w:t>
      </w:r>
      <w:r>
        <w:rPr>
          <w:b w:val="0"/>
          <w:sz w:val="19"/>
        </w:rPr>
        <w:t xml:space="preserve"> confirm the conclusion via a robustness-of-robustness sweep (it holds across every penalty x grid combination) and validate seven outputs against published benchmarks. </w:t>
      </w:r>
      <w:r>
        <w:rPr>
          <w:b/>
          <w:sz w:val="19"/>
        </w:rPr>
        <w:t>Output / GUI:</w:t>
      </w:r>
      <w:r>
        <w:rPr>
          <w:b w:val="0"/>
          <w:sz w:val="19"/>
        </w:rPr>
        <w:t xml:space="preserve"> results are delivered as an interactive multi-tab dashboard — a Station Designer with live PV/battery/charger/grid sliders showing energy balance, service, cost and carbon in real time, plus Robust-Optimiser, Uncertainty and Sensitivity tabs — and a one-command HTML report. The full study runs in under a minute.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1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b w:val="0"/>
          <w:i/>
          <w:color w:val="555560"/>
          <w:sz w:val="16"/>
        </w:rPr>
        <w:t>Figure 1 — End-to-end methodology / algorithm flow.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/>
          <w:sz w:val="19"/>
        </w:rPr>
        <w:t>Technical:</w:t>
      </w:r>
      <w:r>
        <w:rPr>
          <w:b w:val="0"/>
          <w:sz w:val="19"/>
        </w:rPr>
        <w:t xml:space="preserve"> only commercially available components — monocrystalline PV, Li-ion storage and standard AC charge points, sized within datasheet-supported ranges. </w:t>
      </w:r>
      <w:r>
        <w:rPr>
          <w:b/>
          <w:sz w:val="19"/>
        </w:rPr>
        <w:t>Economic:</w:t>
      </w:r>
      <w:r>
        <w:rPr>
          <w:b w:val="0"/>
          <w:sz w:val="19"/>
        </w:rPr>
        <w:t xml:space="preserve"> ≈£36,000 capital cost with bounded annual cost even in the worst demand scenario; the model reports CAPEX, OPEX, replacement and grid costs. </w:t>
      </w:r>
      <w:r>
        <w:rPr>
          <w:b/>
          <w:sz w:val="19"/>
        </w:rPr>
        <w:t>Operational:</w:t>
      </w:r>
      <w:r>
        <w:rPr>
          <w:b w:val="0"/>
          <w:sz w:val="19"/>
        </w:rPr>
        <w:t xml:space="preserve"> one deployable specification plus the confidence interval around it. </w:t>
      </w:r>
      <w:r>
        <w:rPr>
          <w:b/>
          <w:sz w:val="19"/>
        </w:rPr>
        <w:t>Validated:</w:t>
      </w:r>
      <w:r>
        <w:rPr>
          <w:b w:val="0"/>
          <w:sz w:val="19"/>
        </w:rPr>
        <w:t xml:space="preserve"> all seven key outputs fall within published benchmark ranges. </w:t>
      </w:r>
      <w:r>
        <w:rPr>
          <w:b/>
          <w:sz w:val="19"/>
        </w:rPr>
        <w:t>Battery sustainability &amp; safety:</w:t>
      </w:r>
      <w:r>
        <w:rPr>
          <w:b w:val="0"/>
          <w:sz w:val="19"/>
        </w:rPr>
        <w:t xml:space="preserve"> where the weak-grid case requires storage we specify a cobalt/nickel-free LFP pack (thermal-runaway onset ~270°C vs ~150°C for NMC, charged at a conservative 0.5C); the modelled duty cycle gives ~12-yr life, ~45% end-of-life material recovery and a second-life stationary phase before recycling. </w:t>
      </w:r>
      <w:r>
        <w:rPr>
          <w:b/>
          <w:sz w:val="19"/>
        </w:rPr>
        <w:t>Computational:</w:t>
      </w:r>
      <w:r>
        <w:rPr>
          <w:b w:val="0"/>
          <w:sz w:val="19"/>
        </w:rPr>
        <w:t xml:space="preserve"> open-source Python, deterministic, one-command rebuild, passing test suite — any reviewer can reproduce every number.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>All model code, the dispatch engine, the optimisation formulation and every figure were written from scratch for this submission. All three datasets are REAL: DfT e-scooter monitoring data (Open Government Licence), hourly solar pulled live from the EU PVGIS API, and regional grid-carbon intensity from the National Grid ESO API. Every numerical assumption carries an inline source citation and all literature is referenced. The repository is fully self-contained and reproducible — fixed random seed, one-command rebuild, passing tests — directly supporting the competition’s AI and plagiarism checks. No third-party text or code is reproduced.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4198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419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0648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robust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064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center"/>
      </w:pPr>
      <w:r>
        <w:rPr>
          <w:b w:val="0"/>
          <w:i/>
          <w:color w:val="555560"/>
          <w:sz w:val="16"/>
        </w:rPr>
        <w:t>Figure 2 — Cost-vs-robustness Pareto frontier (five decision rules).      Figure 3 — Robustness of the conclusion: robust beats naive across every penalty x grid combination.</w:t>
      </w:r>
    </w:p>
    <w:sectPr w:rsidR="00FC693F" w:rsidRPr="0006063C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