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b/>
          <w:i w:val="0"/>
          <w:color w:val="1B1B3A"/>
          <w:sz w:val="32"/>
        </w:rPr>
        <w:t>Robust Charging Infrastructure Design under Demand Uncertainty</w:t>
      </w:r>
    </w:p>
    <w:p>
      <w:pPr>
        <w:spacing w:before="0" w:after="20" w:line="240" w:lineRule="auto"/>
        <w:jc w:val="center"/>
      </w:pPr>
      <w:r>
        <w:rPr>
          <w:b w:val="0"/>
          <w:i/>
          <w:color w:val="555560"/>
          <w:sz w:val="21"/>
        </w:rPr>
        <w:t>A solar-powered charging station for a shared e-micromobility fleet — Executive Summary</w:t>
      </w:r>
    </w:p>
    <w:p>
      <w:pPr>
        <w:spacing w:before="0" w:after="60" w:line="240" w:lineRule="auto"/>
        <w:jc w:val="center"/>
        <w:pBdr>
          <w:bottom w:val="single" w:sz="12" w:space="1" w:color="2E86AB"/>
        </w:pBdr>
      </w:pPr>
      <w:r>
        <w:rPr>
          <w:b w:val="0"/>
          <w:i w:val="0"/>
          <w:color w:val="2E86AB"/>
          <w:sz w:val="17"/>
        </w:rPr>
        <w:t>Competition Themes — 3 (primary): solar-PV charging-station design  ·  2 (secondary): charge/discharge profiles under demand scenarios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val="clear" w:fill="EAF1F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b/>
                <w:color w:val="1B1B3A"/>
                <w:sz w:val="19"/>
              </w:rPr>
              <w:t>25 kWp PV · 50 kWh · 4 chargers</w:t>
            </w:r>
          </w:p>
          <w:p>
            <w:pPr>
              <w:spacing w:before="20"/>
              <w:jc w:val="center"/>
            </w:pPr>
            <w:r>
              <w:rPr>
                <w:color w:val="555560"/>
                <w:sz w:val="15"/>
              </w:rPr>
              <w:t>Recommended robust design</w:t>
            </w:r>
          </w:p>
        </w:tc>
        <w:tc>
          <w:tcPr>
            <w:tcW w:type="dxa" w:w="2551"/>
            <w:shd w:val="clear" w:fill="E7F3EC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b/>
                <w:color w:val="1B1B3A"/>
                <w:sz w:val="19"/>
              </w:rPr>
              <w:t>-60%  (£31,574/yr)</w:t>
            </w:r>
          </w:p>
          <w:p>
            <w:pPr>
              <w:spacing w:before="20"/>
              <w:jc w:val="center"/>
            </w:pPr>
            <w:r>
              <w:rPr>
                <w:color w:val="555560"/>
                <w:sz w:val="15"/>
              </w:rPr>
              <w:t>Value of robustness (worst-case cost)</w:t>
            </w:r>
          </w:p>
        </w:tc>
        <w:tc>
          <w:tcPr>
            <w:tcW w:type="dxa" w:w="2551"/>
            <w:shd w:val="clear" w:fill="EAF1F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b/>
                <w:color w:val="1B1B3A"/>
                <w:sz w:val="19"/>
              </w:rPr>
              <w:t>99%  (vs 87% naive)</w:t>
            </w:r>
          </w:p>
          <w:p>
            <w:pPr>
              <w:spacing w:before="20"/>
              <w:jc w:val="center"/>
            </w:pPr>
            <w:r>
              <w:rPr>
                <w:color w:val="555560"/>
                <w:sz w:val="15"/>
              </w:rPr>
              <w:t>Guaranteed fleet service, worst case</w:t>
            </w:r>
          </w:p>
        </w:tc>
        <w:tc>
          <w:tcPr>
            <w:tcW w:type="dxa" w:w="2551"/>
            <w:shd w:val="clear" w:fill="E7F3EC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b/>
                <w:color w:val="1B1B3A"/>
                <w:sz w:val="19"/>
              </w:rPr>
              <w:t>84%  (6.2 tCO2/yr)</w:t>
            </w:r>
          </w:p>
          <w:p>
            <w:pPr>
              <w:spacing w:before="20"/>
              <w:jc w:val="center"/>
            </w:pPr>
            <w:r>
              <w:rPr>
                <w:color w:val="555560"/>
                <w:sz w:val="15"/>
              </w:rPr>
              <w:t>Operational carbon saving</w:t>
            </w:r>
          </w:p>
        </w:tc>
      </w:tr>
    </w:tbl>
    <w:p>
      <w:pPr>
        <w:spacing w:before="0" w:after="40" w:line="240" w:lineRule="auto"/>
      </w:pPr>
    </w:p>
    <w:p>
      <w:pPr>
        <w:spacing w:before="140" w:after="40"/>
        <w:pBdr>
          <w:bottom w:val="single" w:sz="6" w:space="1" w:color="C7D3DC"/>
        </w:pBdr>
      </w:pPr>
      <w:r>
        <w:rPr>
          <w:b/>
          <w:color w:val="1B1B3A"/>
          <w:sz w:val="23"/>
        </w:rPr>
        <w:t>1. Problem Understanding</w:t>
      </w:r>
      <w:r>
        <w:rPr>
          <w:i/>
          <w:color w:val="2E86AB"/>
          <w:sz w:val="18"/>
        </w:rPr>
        <w:t xml:space="preserve">    [20% criterion]</w:t>
      </w:r>
    </w:p>
    <w:p>
      <w:pPr>
        <w:spacing w:after="100" w:line="245" w:lineRule="auto"/>
        <w:jc w:val="both"/>
      </w:pPr>
      <w:r>
        <w:rPr>
          <w:b w:val="0"/>
          <w:sz w:val="19"/>
        </w:rPr>
        <w:t xml:space="preserve">Shared e-micromobility fleets face highly variable charging demand — driven by season, weather, local events and multi-year growth. This creates a sizing dilemma for a solar charging station: a station built for </w:t>
      </w:r>
      <w:r>
        <w:rPr>
          <w:b/>
          <w:sz w:val="19"/>
        </w:rPr>
        <w:t>average</w:t>
      </w:r>
      <w:r>
        <w:rPr>
          <w:b w:val="0"/>
          <w:sz w:val="19"/>
        </w:rPr>
        <w:t xml:space="preserve"> demand fails at peaks and strands the fleet, while one built for the </w:t>
      </w:r>
      <w:r>
        <w:rPr>
          <w:b/>
          <w:sz w:val="19"/>
        </w:rPr>
        <w:t>worst case</w:t>
      </w:r>
      <w:r>
        <w:rPr>
          <w:b w:val="0"/>
          <w:sz w:val="19"/>
        </w:rPr>
        <w:t xml:space="preserve"> sinks capital into rarely-used equipment. The dilemma sharpens under a </w:t>
      </w:r>
      <w:r>
        <w:rPr>
          <w:b/>
          <w:sz w:val="19"/>
        </w:rPr>
        <w:t>constrained grid connection</w:t>
      </w:r>
      <w:r>
        <w:rPr>
          <w:b w:val="0"/>
          <w:sz w:val="19"/>
        </w:rPr>
        <w:t xml:space="preserve"> — upgrading the connection needs a costly network reinforcement — so the evening charging peak must be served from on-site solar and storage. Sizing therefore becomes a decision under deep uncertainty: under-build and lose service; over-build and waste money. The demand range is grounded in the real national e-scooter trial monitoring dataset (monthly trips, fleet size, daily utilisation, trip distance), so the problem is posed on observed data rather than assumption.</w:t>
      </w:r>
    </w:p>
    <w:p>
      <w:pPr>
        <w:spacing w:before="140" w:after="40"/>
        <w:pBdr>
          <w:bottom w:val="single" w:sz="6" w:space="1" w:color="C7D3DC"/>
        </w:pBdr>
      </w:pPr>
      <w:r>
        <w:rPr>
          <w:b/>
          <w:color w:val="1B1B3A"/>
          <w:sz w:val="23"/>
        </w:rPr>
        <w:t>2. Relevance &amp; Innovativeness of the Proposed Solution</w:t>
      </w:r>
      <w:r>
        <w:rPr>
          <w:i/>
          <w:color w:val="2E86AB"/>
          <w:sz w:val="18"/>
        </w:rPr>
        <w:t xml:space="preserve">    [20% criterion]</w:t>
      </w:r>
    </w:p>
    <w:p>
      <w:pPr>
        <w:spacing w:after="100" w:line="245" w:lineRule="auto"/>
        <w:jc w:val="both"/>
      </w:pPr>
      <w:r>
        <w:rPr>
          <w:b w:val="0"/>
          <w:sz w:val="19"/>
        </w:rPr>
        <w:t xml:space="preserve">The solution directly delivers </w:t>
      </w:r>
      <w:r>
        <w:rPr>
          <w:b/>
          <w:sz w:val="19"/>
        </w:rPr>
        <w:t>Theme 3</w:t>
      </w:r>
      <w:r>
        <w:rPr>
          <w:b w:val="0"/>
          <w:sz w:val="19"/>
        </w:rPr>
        <w:t xml:space="preserve"> (design of a solar-PV charging station for a shared fleet) and </w:t>
      </w:r>
      <w:r>
        <w:rPr>
          <w:b/>
          <w:sz w:val="19"/>
        </w:rPr>
        <w:t>Theme 2</w:t>
      </w:r>
      <w:r>
        <w:rPr>
          <w:b w:val="0"/>
          <w:sz w:val="19"/>
        </w:rPr>
        <w:t xml:space="preserve"> (modelling charge/discharge profiles under demand scenarios), producing an actionable station specification with uncertainty bounds. Its novelty is methodological: charging-station sizing is almost always </w:t>
      </w:r>
      <w:r>
        <w:rPr>
          <w:b/>
          <w:sz w:val="19"/>
        </w:rPr>
        <w:t>deterministic</w:t>
      </w:r>
      <w:r>
        <w:rPr>
          <w:b w:val="0"/>
          <w:sz w:val="19"/>
        </w:rPr>
        <w:t xml:space="preserve"> (a single demand forecast). We instead apply </w:t>
      </w:r>
      <w:r>
        <w:rPr>
          <w:b/>
          <w:sz w:val="19"/>
        </w:rPr>
        <w:t>robust optimisation — minimax-regret and maximin — alongside a chance-constrained stochastic program</w:t>
      </w:r>
      <w:r>
        <w:rPr>
          <w:b w:val="0"/>
          <w:sz w:val="19"/>
        </w:rPr>
        <w:t xml:space="preserve">, choosing a design that performs across the entire demand space, and we define and quantify the </w:t>
      </w:r>
      <w:r>
        <w:rPr>
          <w:b/>
          <w:sz w:val="19"/>
        </w:rPr>
        <w:t>“value of robustness”</w:t>
      </w:r>
      <w:r>
        <w:rPr>
          <w:b w:val="0"/>
          <w:sz w:val="19"/>
        </w:rPr>
        <w:t xml:space="preserve">: the worst-case cost and lost service avoided by hedging. A correlated Monte-Carlo “demand regime” reproduces the realistic co-movement of trips, utilisation and growth, and exposes a subtle but important result — expected-value design </w:t>
      </w:r>
      <w:r>
        <w:rPr>
          <w:b/>
          <w:sz w:val="19"/>
        </w:rPr>
        <w:t>under-weights the correlated high-demand tail</w:t>
      </w:r>
      <w:r>
        <w:rPr>
          <w:b w:val="0"/>
          <w:sz w:val="19"/>
        </w:rPr>
        <w:t>, which is precisely why scenario-based robust methods are required here.</w:t>
      </w:r>
    </w:p>
    <w:p>
      <w:pPr>
        <w:spacing w:before="140" w:after="40"/>
        <w:pBdr>
          <w:bottom w:val="single" w:sz="6" w:space="1" w:color="C7D3DC"/>
        </w:pBdr>
      </w:pPr>
      <w:r>
        <w:rPr>
          <w:b/>
          <w:color w:val="1B1B3A"/>
          <w:sz w:val="23"/>
        </w:rPr>
        <w:t>3. Approach — Methodology, Algorithm &amp; Flow</w:t>
      </w:r>
      <w:r>
        <w:rPr>
          <w:i/>
          <w:color w:val="2E86AB"/>
          <w:sz w:val="18"/>
        </w:rPr>
        <w:t xml:space="preserve">    [20% criterion]</w:t>
      </w:r>
    </w:p>
    <w:p>
      <w:pPr>
        <w:spacing w:after="100" w:line="245" w:lineRule="auto"/>
        <w:jc w:val="both"/>
      </w:pPr>
      <w:r>
        <w:rPr>
          <w:b w:val="0"/>
          <w:sz w:val="19"/>
        </w:rPr>
        <w:t xml:space="preserve">The pipeline (Figure 1) is: </w:t>
      </w:r>
      <w:r>
        <w:rPr>
          <w:b/>
          <w:sz w:val="19"/>
        </w:rPr>
        <w:t>(i)</w:t>
      </w:r>
      <w:r>
        <w:rPr>
          <w:b w:val="0"/>
          <w:sz w:val="19"/>
        </w:rPr>
        <w:t xml:space="preserve"> build Low/Medium/High demand scenarios from the real trial data, scaled across a year-on-year growth range into nine probability-weighted scenarios; </w:t>
      </w:r>
      <w:r>
        <w:rPr>
          <w:b/>
          <w:sz w:val="19"/>
        </w:rPr>
        <w:t>(ii)</w:t>
      </w:r>
      <w:r>
        <w:rPr>
          <w:b w:val="0"/>
          <w:sz w:val="19"/>
        </w:rPr>
        <w:t xml:space="preserve"> simulate an 8,760-hour energy balance for any design under the capped grid, dispatching PV → battery (with off-peak grid pre-charging for peak-shaving) → capped grid → unmet demand; </w:t>
      </w:r>
      <w:r>
        <w:rPr>
          <w:b/>
          <w:sz w:val="19"/>
        </w:rPr>
        <w:t>(iii)</w:t>
      </w:r>
      <w:r>
        <w:rPr>
          <w:b w:val="0"/>
          <w:sz w:val="19"/>
        </w:rPr>
        <w:t xml:space="preserve"> evaluate all 150 designs (PV 5–25 kWp × battery 0–50 kWh × 4–20 chargers) against the nine scenarios, pricing unmet demand as lost service, to form a cost matrix; </w:t>
      </w:r>
      <w:r>
        <w:rPr>
          <w:b/>
          <w:sz w:val="19"/>
        </w:rPr>
        <w:t>(iv)</w:t>
      </w:r>
      <w:r>
        <w:rPr>
          <w:b w:val="0"/>
          <w:sz w:val="19"/>
        </w:rPr>
        <w:t xml:space="preserve"> apply four decision rules — naive deterministic, chance-constrained stochastic, minimax-regret and maximin — and map the cost-vs-robustness Pareto frontier; </w:t>
      </w:r>
      <w:r>
        <w:rPr>
          <w:b/>
          <w:sz w:val="19"/>
        </w:rPr>
        <w:t>(v)</w:t>
      </w:r>
      <w:r>
        <w:rPr>
          <w:b w:val="0"/>
          <w:sz w:val="19"/>
        </w:rPr>
        <w:t xml:space="preserve"> propagate uncertainty through a 500-sample correlated Monte-Carlo fan; </w:t>
      </w:r>
      <w:r>
        <w:rPr>
          <w:b/>
          <w:sz w:val="19"/>
        </w:rPr>
        <w:t>(vi)</w:t>
      </w:r>
      <w:r>
        <w:rPr>
          <w:b w:val="0"/>
          <w:sz w:val="19"/>
        </w:rPr>
        <w:t xml:space="preserve"> rank the drivers with a tornado sensitivity analysis. The hourly controller is a transparent greedy priority rule (optimal for a single store) and the full study runs in about 25 seconds.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1618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hodology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61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rPr>
          <w:b w:val="0"/>
          <w:i/>
          <w:color w:val="555560"/>
          <w:sz w:val="16"/>
        </w:rPr>
        <w:t>Figure 1 — End-to-end methodology / algorithm flow.</w:t>
      </w:r>
    </w:p>
    <w:p>
      <w:pPr>
        <w:spacing w:before="140" w:after="40"/>
        <w:pBdr>
          <w:bottom w:val="single" w:sz="6" w:space="1" w:color="C7D3DC"/>
        </w:pBdr>
      </w:pPr>
      <w:r>
        <w:rPr>
          <w:b/>
          <w:color w:val="1B1B3A"/>
          <w:sz w:val="23"/>
        </w:rPr>
        <w:t>4. Feasibility of the Proposed Approach</w:t>
      </w:r>
      <w:r>
        <w:rPr>
          <w:i/>
          <w:color w:val="2E86AB"/>
          <w:sz w:val="18"/>
        </w:rPr>
        <w:t xml:space="preserve">    [20% criterion]</w:t>
      </w:r>
    </w:p>
    <w:p>
      <w:pPr>
        <w:spacing w:after="100" w:line="245" w:lineRule="auto"/>
        <w:jc w:val="both"/>
      </w:pPr>
      <w:r>
        <w:rPr>
          <w:b/>
          <w:sz w:val="19"/>
        </w:rPr>
        <w:t>Technical:</w:t>
      </w:r>
      <w:r>
        <w:rPr>
          <w:b w:val="0"/>
          <w:sz w:val="19"/>
        </w:rPr>
        <w:t xml:space="preserve"> the design uses only commercially available components — monocrystalline PV, a Li-ion battery (0–50 kWh) and standard AC charge points — sized within ranges supported by manufacturer datasheets and industry benchmarks. </w:t>
      </w:r>
      <w:r>
        <w:rPr>
          <w:b/>
          <w:sz w:val="19"/>
        </w:rPr>
        <w:t>Economic:</w:t>
      </w:r>
      <w:r>
        <w:rPr>
          <w:b w:val="0"/>
          <w:sz w:val="19"/>
        </w:rPr>
        <w:t xml:space="preserve"> the recommended robust station has a ≈£68,400 capital cost and a bounded annual cost even in the worst demand scenario; the model reports CAPEX, OPEX, battery-replacement and grid costs. </w:t>
      </w:r>
      <w:r>
        <w:rPr>
          <w:b/>
          <w:sz w:val="19"/>
        </w:rPr>
        <w:t>Operational:</w:t>
      </w:r>
      <w:r>
        <w:rPr>
          <w:b w:val="0"/>
          <w:sz w:val="19"/>
        </w:rPr>
        <w:t xml:space="preserve"> it yields one deployable specification plus the confidence interval around it. </w:t>
      </w:r>
      <w:r>
        <w:rPr>
          <w:b/>
          <w:sz w:val="19"/>
        </w:rPr>
        <w:t>Computational:</w:t>
      </w:r>
      <w:r>
        <w:rPr>
          <w:b w:val="0"/>
          <w:sz w:val="19"/>
        </w:rPr>
        <w:t xml:space="preserve"> the entire model is open-source Python, deterministic, regenerates all data and figures from a single command, and is covered by an automated regression-test suite — so any reviewer can reproduce and audit every number.</w:t>
      </w:r>
    </w:p>
    <w:p>
      <w:pPr>
        <w:spacing w:before="140" w:after="40"/>
        <w:pBdr>
          <w:bottom w:val="single" w:sz="6" w:space="1" w:color="C7D3DC"/>
        </w:pBdr>
      </w:pPr>
      <w:r>
        <w:rPr>
          <w:b/>
          <w:color w:val="1B1B3A"/>
          <w:sz w:val="23"/>
        </w:rPr>
        <w:t>5. Originality &amp; Authenticity (AI / Plagiarism)</w:t>
      </w:r>
      <w:r>
        <w:rPr>
          <w:i/>
          <w:color w:val="2E86AB"/>
          <w:sz w:val="18"/>
        </w:rPr>
        <w:t xml:space="preserve">    [20% criterion]</w:t>
      </w:r>
    </w:p>
    <w:p>
      <w:pPr>
        <w:spacing w:after="100" w:line="245" w:lineRule="auto"/>
        <w:jc w:val="both"/>
      </w:pPr>
      <w:r>
        <w:rPr>
          <w:b w:val="0"/>
          <w:sz w:val="19"/>
        </w:rPr>
        <w:t>All model code, the dispatch engine, the optimisation formulation and every figure were written from scratch for this submission. The only redistributed dataset is the national DfT e-scooter monitoring data, reused under the Open Government Licence; the solar and grid-carbon series are physically modelled and calibrated to published references (with an optional live-API path), not copied. Every numerical assumption carries an inline source citation and all literature is referenced. The repository is fully self-contained and reproducible — fixed random seed, one-command rebuild, passing tests — directly supporting the competition’s AI and plagiarism checks. No third-party text or code is reproduced.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39653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pare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3965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1471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design_comparis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1471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jc w:val="center"/>
      </w:pPr>
      <w:r>
        <w:rPr>
          <w:b w:val="0"/>
          <w:i/>
          <w:color w:val="555560"/>
          <w:sz w:val="16"/>
        </w:rPr>
        <w:t>Figure 2 — Cost-vs-robustness Pareto frontier (four decision rules).      Figure 3 — Expected vs worst-case annual cost by rule.</w:t>
      </w:r>
    </w:p>
    <w:sectPr w:rsidR="00FC693F" w:rsidRPr="0006063C" w:rsidSect="00034616">
      <w:pgSz w:w="11906" w:h="16838"/>
      <w:pgMar w:top="737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