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20 kWp PV · 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-61%  (£87,422/yr)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96%  (vs 85%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16%  (4.6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A shared-micromobility operator depot charges a mixed fleet of e-scooters, e-bikes and e-cargo bikes whose demand swings with season, weather, events and multi-year growth. This creates a sizing dilemma for a solar charging hub: one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a higher import limit needs a costly DNO reinforcement — so the evening charging peak must be served from on-site solar and storage, across enough charge bays. Sizing becomes a decision under deep uncertainty: under-build and lose service; over-build and waste money. Demand is anchored to the REAL DfT Newcastle e-scooter trial (monthly trips, fleet size, deployment, trip distance), so the problem is posed on observed data, not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minimax-regret, maximin and CVaR — alongside a two-stage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 xml:space="preserve">, which is precisely why scenario-based robust methods are required here. A further, counter-intuitive finding falls out: because depot charging is flexible, </w:t>
      </w:r>
      <w:r>
        <w:rPr>
          <w:b/>
          <w:sz w:val="19"/>
        </w:rPr>
        <w:t>smart charging is the cheapest robustness lever</w:t>
      </w:r>
      <w:r>
        <w:rPr>
          <w:b w:val="0"/>
          <w:sz w:val="19"/>
        </w:rPr>
        <w:t xml:space="preserve"> — it flattens the load below the connection so that, at a grid-connected depot, a battery does not pay; storage becomes essential only as the connection weakens toward off-grid (~10 kW), a boundary we quantify. The recommendation is therefore solar + smart-managed bays, not capital-heavy storage.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grid, dispatching PV → battery (with off-peak grid pre-charging for peak-shaving) → capped grid → unmet demand;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five decision rules — naive, a two-stage stochastic program (expected cost), CVaR (risk-averse),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 and rank drivers with a tornado and variance-based global (Sobol) sensitivity;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confirm the conclusion is not an artefact via a robustness-of-robustness sweep (it holds across every penalty x grid combination) and validate seven outputs against published benchmarks. The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only commercially available components — monocrystalline PV, Li-ion storage and standard AC charge points, sized within datasheet-supported ranges.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≈£36,000 capital cost with bounded annual cost even in the worst demand scenario; the model reports CAPEX, OPEX, 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one deployable specification plus the confidence interval around it. </w:t>
      </w:r>
      <w:r>
        <w:rPr>
          <w:b/>
          <w:sz w:val="19"/>
        </w:rPr>
        <w:t>Validated:</w:t>
      </w:r>
      <w:r>
        <w:rPr>
          <w:b w:val="0"/>
          <w:sz w:val="19"/>
        </w:rPr>
        <w:t xml:space="preserve"> all seven key outputs fall within published benchmark ranges. </w:t>
      </w:r>
      <w:r>
        <w:rPr>
          <w:b/>
          <w:sz w:val="19"/>
        </w:rPr>
        <w:t>Battery sustainability &amp; safety:</w:t>
      </w:r>
      <w:r>
        <w:rPr>
          <w:b w:val="0"/>
          <w:sz w:val="19"/>
        </w:rPr>
        <w:t xml:space="preserve"> where the weak-grid case requires storage we specify a cobalt/nickel-free LFP pack (thermal-runaway onset ~270°C vs ~150°C for NMC, charged at a conservative 0.5C); the modelled duty cycle gives ~12-yr life, ~45% end-of-life material recovery and a second-life stationary phase before recycling.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open-source Python, deterministic, one-command rebuild, passing test suite — any reviewer can reproduce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All three datasets are REAL: DfT e-scooter monitoring data (Open Government Licence), hourly solar pulled live from the EU PVGIS API, and regional grid-carbon intensity from the National Grid ESO API.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