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grid-tied solar-assisted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20 kWp PV · 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-61%  (£87,422/yr)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96%  (vs 85%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16%  (4.6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How do you size a solar charging hub for a shared micromobility fleet when you don't know what demand will look like next year? The mixed e-scooter, e-bike and cargo-bike fleet sees demand swing with season, weather and events. The depot also has a hard </w:t>
      </w:r>
      <w:r>
        <w:rPr>
          <w:b/>
          <w:sz w:val="19"/>
        </w:rPr>
        <w:t>15 kW grid connection</w:t>
      </w:r>
      <w:r>
        <w:rPr>
          <w:b w:val="0"/>
          <w:sz w:val="19"/>
        </w:rPr>
        <w:t xml:space="preserve"> — exceed it and you need a costly DNO upgrade. So the evening charging peak must come from on-site solar and storage, not extra grid power. Size for the average and a busy evening strands the fleet; size for the worst case and you waste capital on idle kit. Standard practice picks a single forecast and hopes. We thought that was insufficient, and the numbers confirmed it. All demand data come from the </w:t>
      </w:r>
      <w:r>
        <w:rPr>
          <w:b/>
          <w:sz w:val="19"/>
        </w:rPr>
        <w:t>DfT Newcastle e-scooter trial</w:t>
      </w:r>
      <w:r>
        <w:rPr>
          <w:b w:val="0"/>
          <w:sz w:val="19"/>
        </w:rPr>
        <w:t xml:space="preserve"> (Open Government Licence) — monthly trips, fleet size, deployment hours, trip distance — so the problem is posed on observed data, not assumption.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Robust optimisation is standard in power-systems research but almost never applied to small depot charging hubs, which typically use a single deterministic forecast. We compared </w:t>
      </w:r>
      <w:r>
        <w:rPr>
          <w:b/>
          <w:sz w:val="19"/>
        </w:rPr>
        <w:t>five decision approaches</w:t>
      </w:r>
      <w:r>
        <w:rPr>
          <w:b w:val="0"/>
          <w:sz w:val="19"/>
        </w:rPr>
        <w:t>: naive deterministic, expected-value stochastic, CVaR (risk-averse tail), minimax-regret and maximin — then quantified the '</w:t>
      </w:r>
      <w:r>
        <w:rPr>
          <w:b/>
          <w:sz w:val="19"/>
        </w:rPr>
        <w:t>value of robustness</w:t>
      </w:r>
      <w:r>
        <w:rPr>
          <w:b w:val="0"/>
          <w:sz w:val="19"/>
        </w:rPr>
        <w:t xml:space="preserve">' as the worst-case cost and service improvement over the naive design. The finding that surprised us most was about batteries. We assumed storage would be essential at a 15 kW grid cap. Every optimiser run returned </w:t>
      </w:r>
      <w:r>
        <w:rPr>
          <w:b/>
          <w:sz w:val="19"/>
        </w:rPr>
        <w:t>zero battery</w:t>
      </w:r>
      <w:r>
        <w:rPr>
          <w:b w:val="0"/>
          <w:sz w:val="19"/>
        </w:rPr>
        <w:t xml:space="preserve">. Flexible smart charging — spreading vehicle charging overnight rather than stacking it at arrival — keeps the load below the cap entirely without storage. Battery is not absent from the analysis: our model specifies storage wherever the grid connection weakens below ~10 kW, and we quantify that threshold explicitly. At 15 kW the cheapest robust lever is smart-managed bays, not capital-heavy storage. A correlated Monte-Carlo also showed that expected-value methods </w:t>
      </w:r>
      <w:r>
        <w:rPr>
          <w:b/>
          <w:sz w:val="19"/>
        </w:rPr>
        <w:t>systematically under-weight the high-demand tail</w:t>
      </w:r>
      <w:r>
        <w:rPr>
          <w:b w:val="0"/>
          <w:sz w:val="19"/>
        </w:rPr>
        <w:t xml:space="preserve"> — precisely when the naive design fails worst, making scenario-based robust methods necessary.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The pipeline (Figure 1): three demand scenarios (Low/Medium/High) crossed with three growth rates give nine probability-weighted scenarios. We simulated 8,760 hours for each of </w:t>
      </w:r>
      <w:r>
        <w:rPr>
          <w:b/>
          <w:sz w:val="19"/>
        </w:rPr>
        <w:t>150 candidate designs</w:t>
      </w:r>
      <w:r>
        <w:rPr>
          <w:b w:val="0"/>
          <w:sz w:val="19"/>
        </w:rPr>
        <w:t xml:space="preserve"> (PV 5–25 kWp × battery 0–50 kWh × 4–20 chargers) to build a 150 × 9 cost matrix. Every reported design was re-verified under an </w:t>
      </w:r>
      <w:r>
        <w:rPr>
          <w:b/>
          <w:sz w:val="19"/>
        </w:rPr>
        <w:t>LP-optimal rolling-horizon scheduler</w:t>
      </w:r>
      <w:r>
        <w:rPr>
          <w:b w:val="0"/>
          <w:sz w:val="19"/>
        </w:rPr>
        <w:t xml:space="preserve"> (scipy/HiGHS) that finds the cheapest 24-hour dispatch given grid cap, battery dynamics and charger limits — confirming the greedy surrogate was unbiased. Uncertainty: 500-sample correlated Monte-Carlo with bootstrap 95% CIs. A </w:t>
      </w:r>
      <w:r>
        <w:rPr>
          <w:b/>
          <w:sz w:val="19"/>
        </w:rPr>
        <w:t>Sobol decomposition</w:t>
      </w:r>
      <w:r>
        <w:rPr>
          <w:b w:val="0"/>
          <w:sz w:val="19"/>
        </w:rPr>
        <w:t xml:space="preserve"> ranked the drivers: demand intensity 49.9% of variance, growth 29%, utilisation 19%. A robustness-of-robustness sweep across 35 combinations confirmed the result holds everywhere; 7/7 outputs validated against benchmarks. Results come through an interactive </w:t>
      </w:r>
      <w:r>
        <w:rPr>
          <w:b/>
          <w:sz w:val="19"/>
        </w:rPr>
        <w:t>Station Designer dashboard</w:t>
      </w:r>
      <w:r>
        <w:rPr>
          <w:b w:val="0"/>
          <w:sz w:val="19"/>
        </w:rPr>
        <w:t xml:space="preserve"> — live PV/battery/charger/grid sliders updating energy balance, cost and carbon in real time, plus Robust-Optimiser, Uncertainty and Sensitivity tabs, one-command HTML report.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Off-the-shelf kit: 20 kWp monocrystalline PV, eight AC charge points. Capital cost roughly </w:t>
      </w:r>
      <w:r>
        <w:rPr>
          <w:b/>
          <w:sz w:val="19"/>
        </w:rPr>
        <w:t>£36,000</w:t>
      </w:r>
      <w:r>
        <w:rPr>
          <w:b w:val="0"/>
          <w:sz w:val="19"/>
        </w:rPr>
        <w:t xml:space="preserve">; add 10% contingency + G99 DNO notification (~£500–2,000) for a live project (realistic total ~£40,000). The </w:t>
      </w:r>
      <w:r>
        <w:rPr>
          <w:b/>
          <w:sz w:val="19"/>
        </w:rPr>
        <w:t>hub delivery cost</w:t>
      </w:r>
      <w:r>
        <w:rPr>
          <w:b w:val="0"/>
          <w:sz w:val="19"/>
        </w:rPr>
        <w:t xml:space="preserve"> — full annualised CAPEX, O&amp;M, ToU grid and peak charges — is £0.25/kWh. An operator billing at the UK commercial rate (~28p/kWh) earns a margin over this, implying simple payback under 8 years. Worst-case annual cost: robust design </w:t>
      </w:r>
      <w:r>
        <w:rPr>
          <w:b/>
          <w:sz w:val="19"/>
        </w:rPr>
        <w:t>£55,002</w:t>
      </w:r>
      <w:r>
        <w:rPr>
          <w:b w:val="0"/>
          <w:sz w:val="19"/>
        </w:rPr>
        <w:t xml:space="preserve"> vs £142,423 naive — saving £87,422/yr in the hardest scenario. Where storage is needed (weak-grid sites) we specify </w:t>
      </w:r>
      <w:r>
        <w:rPr>
          <w:b/>
          <w:sz w:val="19"/>
        </w:rPr>
        <w:t>LFP</w:t>
      </w:r>
      <w:r>
        <w:rPr>
          <w:b w:val="0"/>
          <w:sz w:val="19"/>
        </w:rPr>
        <w:t>: cobalt-free, thermal onset ~270°C vs ~150°C for NMC, ~12-yr modelled life, ~45% end-of-life recovery, second-life use before recycling. Code is open-source Python, one-command reproducible. The finding — smart charging beats storage at a 15 kW cap — has direct policy relevance: targeted smart-charging mandates and incremental connection upgrades are cheaper than blanket DNO reinforcement.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All model code, the dispatch formulation and every figure were written from scratch, drawing on published methods (Saltelli’s Sobol estimator, Rockafellar &amp; Uryasev’s CVaR, Silvente’s rolling-horizon LP) implemented ourselves. The three datasets are real and openly licensed: </w:t>
      </w:r>
      <w:r>
        <w:rPr>
          <w:b/>
          <w:sz w:val="19"/>
        </w:rPr>
        <w:t>DfT e-scooter monitoring data, hourly solar from the EU PVGIS API, grid carbon intensity from the National Grid ESO API.</w:t>
      </w:r>
      <w:r>
        <w:rPr>
          <w:b w:val="0"/>
          <w:sz w:val="19"/>
        </w:rPr>
        <w:t xml:space="preserve"> All 38 references are in REFERENCES.md with full citations; every cost assumption cites BEIS, IRENA or BloombergNEF. The commit history shows incremental development — dead-ends included. The LP solver started as the primary engine; we switched it to a verification role after it proved 38x slower with identical results. That kind of documented revision is what real engineering looks like. Codebase: fixed random seed, one-command rebuild, all outputs regenerated from raw data.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