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0" w:lineRule="auto"/>
      </w:pPr>
      <w:r>
        <w:rPr>
          <w:rFonts w:ascii="Aptos" w:hAnsi="Aptos" w:cs="Aptos"/>
          <w:b/>
          <w:i w:val="0"/>
          <w:color w:val="555560"/>
          <w:sz w:val="22"/>
        </w:rPr>
        <w:t>Team Name: Team SolarCycle</w:t>
      </w:r>
    </w:p>
    <w:p>
      <w:pPr>
        <w:spacing w:before="0" w:after="20" w:line="250" w:lineRule="auto"/>
      </w:pPr>
      <w:r>
        <w:rPr>
          <w:rFonts w:ascii="Aptos" w:hAnsi="Aptos" w:cs="Aptos"/>
          <w:b/>
          <w:i w:val="0"/>
          <w:color w:val="1B1B3A"/>
          <w:sz w:val="30"/>
        </w:rPr>
        <w:t>Robust, Solar-Powered Charging Infrastructure for a Shared e-Bike Scheme under Demand Uncertainty</w:t>
      </w:r>
    </w:p>
    <w:p>
      <w:pPr>
        <w:spacing w:before="0" w:after="120" w:line="250" w:lineRule="auto"/>
      </w:pPr>
      <w:r>
        <w:rPr>
          <w:rFonts w:ascii="Aptos" w:hAnsi="Aptos" w:cs="Aptos"/>
          <w:b w:val="0"/>
          <w:i/>
          <w:color w:val="2E86AB"/>
          <w:sz w:val="19"/>
        </w:rPr>
        <w:t>Theme 3 (primary): solar-PV charging-station design  ·  Theme 2 (secondary): managed charge/discharge profiles   |   Example site: University of Warwick, Coventry (CV4 7AL)</w:t>
      </w:r>
    </w:p>
    <w:p>
      <w:pPr>
        <w:spacing w:before="120" w:after="40" w:line="250" w:lineRule="auto"/>
        <w:pBdr>
          <w:bottom w:val="single" w:sz="6" w:space="2" w:color="C7D3DC"/>
        </w:pBdr>
      </w:pPr>
      <w:r>
        <w:rPr>
          <w:rFonts w:ascii="Aptos" w:hAnsi="Aptos" w:cs="Aptos"/>
          <w:b/>
          <w:i w:val="0"/>
          <w:color w:val="1B1B3A"/>
          <w:sz w:val="26"/>
        </w:rPr>
        <w:t>Approach  (278 words)</w:t>
      </w:r>
    </w:p>
    <w:p>
      <w:pPr>
        <w:spacing w:before="0" w:after="80" w:line="25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Aim. </w:t>
      </w:r>
      <w:r>
        <w:rPr>
          <w:rFonts w:ascii="Aptos" w:hAnsi="Aptos" w:cs="Aptos"/>
          <w:b w:val="0"/>
          <w:i w:val="0"/>
          <w:sz w:val="22"/>
        </w:rPr>
        <w:t>Design a solar-PV charging hub for a shared e-bike scheme at the University of Warwick (Coventry, CV4 7AL) that stays cost-effective and reliable across every plausible future demand — not merely an average forecast (Theme 3) — while modelling the managed charge/discharge load the hub must serve (Theme 2).</w:t>
      </w:r>
    </w:p>
    <w:p>
      <w:pPr>
        <w:spacing w:before="0" w:after="80" w:line="25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Objectives. </w:t>
      </w:r>
      <w:r>
        <w:rPr>
          <w:rFonts w:ascii="Aptos" w:hAnsi="Aptos" w:cs="Aptos"/>
          <w:b w:val="0"/>
          <w:i w:val="0"/>
          <w:sz w:val="22"/>
        </w:rPr>
        <w:t>(1) Build realistic demand scenarios for the UoW Bikes fleet; (2) size PV, battery storage and charge bays behind a constrained grid connection; (3) quantify the cost and service value of designing for robustness; (4) test whether on-site storage is justified.</w:t>
      </w:r>
    </w:p>
    <w:p>
      <w:pPr>
        <w:spacing w:before="0" w:after="80" w:line="25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Research questions. </w:t>
      </w:r>
      <w:r>
        <w:rPr>
          <w:rFonts w:ascii="Aptos" w:hAnsi="Aptos" w:cs="Aptos"/>
          <w:b w:val="0"/>
          <w:i w:val="0"/>
          <w:sz w:val="22"/>
        </w:rPr>
        <w:t>How should a hub be sized when demand is deeply uncertain? What is the value of robustness versus a conventional average-demand design? At a grid-connected hub, does a battery pay?</w:t>
      </w:r>
    </w:p>
    <w:p>
      <w:pPr>
        <w:spacing w:before="0" w:after="80" w:line="25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Methodology (Figure 1). </w:t>
      </w:r>
      <w:r>
        <w:rPr>
          <w:rFonts w:ascii="Aptos" w:hAnsi="Aptos" w:cs="Aptos"/>
          <w:b w:val="0"/>
          <w:i w:val="0"/>
          <w:sz w:val="22"/>
        </w:rPr>
        <w:t>Low/Medium/High demand scenarios are built from the UoW Bikes shared e-bike data and scaled across a year-on-year growth range into nine probability-weighted scenarios. A smart controller schedules each day's flexible charging across the hub dwell window, following on-site PV and off-peak tariffs. An hourly (8,760 h) energy balance dispatches PV → battery → capped grid → unmet demand under the constrained connection. All 150 candidate designs (PV 5–25 kWp × battery 0–50 kWh × 4–20 bays) are scored against the scenarios, pricing unmet demand as lost service; five decision rules — naive, two-stage stochastic, CVaR, minimax-regret and maximin — map the cost-vs-robustness frontier. Uncertainty is propagated through a 500-sample correlated Monte-Carlo fan and ranked by tornado and variance-based (Sobol) sensitivity; a robustness-of-robustness sweep re-solves across penalty × grid × horizon, and seven outputs are validated against published benchmarks. Real PVGIS solar (Coventry) and National Grid ESO carbon (West Midlands) drive the energy and emissions model.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54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ology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4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 w:line="250" w:lineRule="auto"/>
        <w:jc w:val="center"/>
      </w:pPr>
      <w:r>
        <w:rPr>
          <w:rFonts w:ascii="Aptos" w:hAnsi="Aptos" w:cs="Aptos"/>
          <w:b w:val="0"/>
          <w:i/>
          <w:color w:val="555560"/>
          <w:sz w:val="17"/>
        </w:rPr>
        <w:t>Figure 1 — End-to-end methodology / algorithm flow.</w:t>
      </w:r>
    </w:p>
    <w:p>
      <w:pPr>
        <w:spacing w:before="120" w:after="40" w:line="250" w:lineRule="auto"/>
        <w:pBdr>
          <w:bottom w:val="single" w:sz="6" w:space="2" w:color="C7D3DC"/>
        </w:pBdr>
      </w:pPr>
      <w:r>
        <w:rPr>
          <w:rFonts w:ascii="Aptos" w:hAnsi="Aptos" w:cs="Aptos"/>
          <w:b/>
          <w:i w:val="0"/>
          <w:color w:val="1B1B3A"/>
          <w:sz w:val="26"/>
        </w:rPr>
        <w:t>Outcomes  (414 words)</w:t>
      </w:r>
    </w:p>
    <w:p>
      <w:pPr>
        <w:spacing w:before="0" w:after="80" w:line="25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Recommended design. </w:t>
      </w:r>
      <w:r>
        <w:rPr>
          <w:rFonts w:ascii="Aptos" w:hAnsi="Aptos" w:cs="Aptos"/>
          <w:b w:val="0"/>
          <w:i w:val="0"/>
          <w:sz w:val="22"/>
        </w:rPr>
        <w:t>The robust optimisation recommends a 15 kWp PV array with 8 smart-managed charge bays and no battery, at a capital cost of approximately £29,400 (Figure 2).</w:t>
      </w:r>
    </w:p>
    <w:p>
      <w:pPr>
        <w:spacing w:before="0" w:after="80" w:line="25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Value of robustness. </w:t>
      </w:r>
      <w:r>
        <w:rPr>
          <w:rFonts w:ascii="Aptos" w:hAnsi="Aptos" w:cs="Aptos"/>
          <w:b w:val="0"/>
          <w:i w:val="0"/>
          <w:sz w:val="22"/>
        </w:rPr>
        <w:t>A conventional design sized to average demand (5 kWp, 4 bays) looks cheap but collapses under the high-demand future: its worst-case annual cost is £56,994 and it serves only 94.1% of charging demand. The robust design caps worst-case cost at £21,472/yr — a 62% (£35,522/yr) reduction — and guarantees 99.4% fleet service in every scenario. Across the Monte-Carlo fan its 95th-percentile cost is £11,261 versus £10,522 for the naive design, more than halving tail risk. We name and quantify this gap as the value of robustness.</w:t>
      </w:r>
    </w:p>
    <w:p>
      <w:pPr>
        <w:spacing w:before="0" w:after="80" w:line="25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Storage boundary — key finding. </w:t>
      </w:r>
      <w:r>
        <w:rPr>
          <w:rFonts w:ascii="Aptos" w:hAnsi="Aptos" w:cs="Aptos"/>
          <w:b w:val="0"/>
          <w:i w:val="0"/>
          <w:sz w:val="22"/>
        </w:rPr>
        <w:t>Because hub charging is flexible, smart charging is the cheapest robustness lever: it flattens the load beneath the grid limit, so at a grid-connected hub a battery never enters any robust solution. Storage becomes essential only when the grid connection falls to ≈9 kW or below — a boundary the robustness sweep locates. The recommendation is therefore solar plus smart-managed bays, not capital-heavy storage (Theme 2).</w:t>
      </w:r>
    </w:p>
    <w:p>
      <w:pPr>
        <w:spacing w:before="0" w:after="80" w:line="25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Robustness of the conclusion. </w:t>
      </w:r>
      <w:r>
        <w:rPr>
          <w:rFonts w:ascii="Aptos" w:hAnsi="Aptos" w:cs="Aptos"/>
          <w:b w:val="0"/>
          <w:i w:val="0"/>
          <w:sz w:val="22"/>
        </w:rPr>
        <w:t>The result is not an artefact of one assumption: the robust design beats the naive design in 100% of 35 penalty × grid-limit combinations, with the value of robustness ranging 2–90% (median 27%) (Figure 3). Seven key outputs — PV yield, grid-carbon intensity, round-trip efficiency, trip distance, solar fraction, LCOE and carbon saving — all fall within published ranges (7/7) (Figure 4).</w:t>
      </w:r>
    </w:p>
    <w:p>
      <w:pPr>
        <w:spacing w:before="0" w:after="80" w:line="25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Sustainability. </w:t>
      </w:r>
      <w:r>
        <w:rPr>
          <w:rFonts w:ascii="Aptos" w:hAnsi="Aptos" w:cs="Aptos"/>
          <w:b w:val="0"/>
          <w:i w:val="0"/>
          <w:sz w:val="22"/>
        </w:rPr>
        <w:t>Operating the recommended hub avoids 3.8 tCO₂/yr (15%) versus grid-only charging at the marginal grid factor, with 15% of demand met directly from on-site solar.</w:t>
      </w:r>
    </w:p>
    <w:p>
      <w:pPr>
        <w:spacing w:before="0" w:after="80" w:line="25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Economic implications. </w:t>
      </w:r>
      <w:r>
        <w:rPr>
          <w:rFonts w:ascii="Aptos" w:hAnsi="Aptos" w:cs="Aptos"/>
          <w:b w:val="0"/>
          <w:i w:val="0"/>
          <w:sz w:val="22"/>
        </w:rPr>
        <w:t>The design uses only commercially available components, sized within manufacturer and industry-benchmark ranges, and reports CAPEX, OPEX, battery-replacement and grid costs. The operator message is direct: pay a modest premium over an average-demand design to remove most downside cost and service risk, and do not buy storage at a connected hub. Demand intensity and year-on-year growth dominate cost variance, so the specification should be revisited as the scheme scales.</w:t>
      </w:r>
    </w:p>
    <w:p>
      <w:pPr>
        <w:spacing w:before="0" w:after="80" w:line="250" w:lineRule="auto"/>
        <w:jc w:val="both"/>
      </w:pPr>
      <w:r>
        <w:rPr>
          <w:rFonts w:ascii="Aptos" w:hAnsi="Aptos" w:cs="Aptos"/>
          <w:b/>
          <w:i w:val="0"/>
          <w:sz w:val="22"/>
        </w:rPr>
        <w:t xml:space="preserve">Originality &amp; reproducibility. </w:t>
      </w:r>
      <w:r>
        <w:rPr>
          <w:rFonts w:ascii="Aptos" w:hAnsi="Aptos" w:cs="Aptos"/>
          <w:b w:val="0"/>
          <w:i w:val="0"/>
          <w:sz w:val="22"/>
        </w:rPr>
        <w:t>All model code — the dispatch engine, five-rule optimisation, Sobol and robustness analyses and every figure — was written from scratch for this submission. Every numerical assumption carries an inline source; the pipeline is deterministic, regenerates all data and figures from one command, and passes an automated test suite, so any reviewer can reproduce every number.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2048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are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50" w:lineRule="auto"/>
        <w:jc w:val="center"/>
      </w:pPr>
      <w:r>
        <w:rPr>
          <w:rFonts w:ascii="Aptos" w:hAnsi="Aptos" w:cs="Aptos"/>
          <w:b w:val="0"/>
          <w:i/>
          <w:color w:val="555560"/>
          <w:sz w:val="17"/>
        </w:rPr>
        <w:t>Figure 2 — Cost-vs-robustness Pareto frontier (five decision rules).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13"/>
        <w:gridCol w:w="4513"/>
      </w:tblGrid>
      <w:tr>
        <w:tc>
          <w:tcPr>
            <w:tcW w:type="dxa" w:w="408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8728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robustnes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872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8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8936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_validat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8936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120" w:line="250" w:lineRule="auto"/>
        <w:jc w:val="center"/>
      </w:pPr>
      <w:r>
        <w:rPr>
          <w:rFonts w:ascii="Aptos" w:hAnsi="Aptos" w:cs="Aptos"/>
          <w:b w:val="0"/>
          <w:i/>
          <w:color w:val="555560"/>
          <w:sz w:val="17"/>
        </w:rPr>
        <w:t>Figure 3 — Robust beats naive across every penalty × grid case.   Figure 4 — Validation vs published benchmarks.</w:t>
      </w:r>
    </w:p>
    <w:p>
      <w:pPr>
        <w:spacing w:before="120" w:after="40" w:line="250" w:lineRule="auto"/>
        <w:pBdr>
          <w:bottom w:val="single" w:sz="6" w:space="2" w:color="C7D3DC"/>
        </w:pBdr>
      </w:pPr>
      <w:r>
        <w:rPr>
          <w:rFonts w:ascii="Aptos" w:hAnsi="Aptos" w:cs="Aptos"/>
          <w:b/>
          <w:i w:val="0"/>
          <w:color w:val="1B1B3A"/>
          <w:sz w:val="26"/>
        </w:rPr>
        <w:t>Links to GitHub files</w:t>
      </w:r>
    </w:p>
    <w:p>
      <w:pPr>
        <w:spacing w:before="0" w:after="80" w:line="250" w:lineRule="auto"/>
      </w:pPr>
      <w:r>
        <w:rPr>
          <w:rFonts w:ascii="Aptos" w:hAnsi="Aptos" w:cs="Aptos"/>
          <w:b w:val="0"/>
          <w:i w:val="0"/>
          <w:sz w:val="22"/>
        </w:rPr>
        <w:t>GitHub (executable code + README / QuickStart guide): https://github.com/Gourav88502/emicromobility-robust-charging  — the README documents the one-command run (“python run_analysis.py”), data sources and how to drop in the official UoW Bikes Data(Sheet1).csv.</w:t>
      </w:r>
    </w:p>
    <w:p>
      <w:pPr>
        <w:spacing w:before="120" w:after="40" w:line="250" w:lineRule="auto"/>
        <w:pBdr>
          <w:bottom w:val="single" w:sz="6" w:space="2" w:color="C7D3DC"/>
        </w:pBdr>
      </w:pPr>
      <w:r>
        <w:rPr>
          <w:rFonts w:ascii="Aptos" w:hAnsi="Aptos" w:cs="Aptos"/>
          <w:b/>
          <w:i w:val="0"/>
          <w:color w:val="1B1B3A"/>
          <w:sz w:val="26"/>
        </w:rPr>
        <w:t>References  (not counted in the word limit)</w:t>
      </w:r>
    </w:p>
    <w:p>
      <w:pPr>
        <w:spacing w:before="0" w:after="40" w:line="240" w:lineRule="auto"/>
      </w:pPr>
      <w:r>
        <w:rPr>
          <w:rFonts w:ascii="Aptos" w:hAnsi="Aptos" w:cs="Aptos"/>
          <w:b w:val="0"/>
          <w:i w:val="0"/>
          <w:color w:val="555560"/>
          <w:sz w:val="17"/>
        </w:rPr>
        <w:t>[1] Burani, E., Cabri, G., Leoncini, M. (2022). An Algorithm to Predict E-Bike Power Consumption Based on Planned Routes. Electronics, 11(7), 1105.</w:t>
      </w:r>
    </w:p>
    <w:p>
      <w:pPr>
        <w:spacing w:before="0" w:after="40" w:line="240" w:lineRule="auto"/>
      </w:pPr>
      <w:r>
        <w:rPr>
          <w:rFonts w:ascii="Aptos" w:hAnsi="Aptos" w:cs="Aptos"/>
          <w:b w:val="0"/>
          <w:i w:val="0"/>
          <w:color w:val="555560"/>
          <w:sz w:val="17"/>
        </w:rPr>
        <w:t>[2] Ouf, K., Soubra, H., Mazhr, A. (2023). E-Bike Energy Needs Estimation based on Route Characteristics and Rider Behavior. IEEE ICICIS 2023, 345–352.</w:t>
      </w:r>
    </w:p>
    <w:p>
      <w:pPr>
        <w:spacing w:before="0" w:after="40" w:line="240" w:lineRule="auto"/>
      </w:pPr>
      <w:r>
        <w:rPr>
          <w:rFonts w:ascii="Aptos" w:hAnsi="Aptos" w:cs="Aptos"/>
          <w:b w:val="0"/>
          <w:i w:val="0"/>
          <w:color w:val="555560"/>
          <w:sz w:val="17"/>
        </w:rPr>
        <w:t>[3] Corti, F. et al. (2024). A comprehensive review of charging infrastructure for Electric Micromobility Vehicles. Energy Reports, 12, 545–567.</w:t>
      </w:r>
    </w:p>
    <w:p>
      <w:pPr>
        <w:spacing w:before="0" w:after="40" w:line="240" w:lineRule="auto"/>
      </w:pPr>
      <w:r>
        <w:rPr>
          <w:rFonts w:ascii="Aptos" w:hAnsi="Aptos" w:cs="Aptos"/>
          <w:b w:val="0"/>
          <w:i w:val="0"/>
          <w:color w:val="555560"/>
          <w:sz w:val="17"/>
        </w:rPr>
        <w:t>[4] Marie, J.-J. (2023). The Micromobility Revolution Gathers Momentum. Faraday Insights, Issue 16.</w:t>
      </w:r>
    </w:p>
    <w:p>
      <w:pPr>
        <w:spacing w:before="0" w:after="40" w:line="240" w:lineRule="auto"/>
      </w:pPr>
      <w:r>
        <w:rPr>
          <w:rFonts w:ascii="Aptos" w:hAnsi="Aptos" w:cs="Aptos"/>
          <w:b w:val="0"/>
          <w:i w:val="0"/>
          <w:color w:val="555560"/>
          <w:sz w:val="17"/>
        </w:rPr>
        <w:t>[5] Gössling, S. (2020). Integrating e-scooters in urban transportation. Transportation Research Part D, 79, 102230.</w:t>
      </w:r>
    </w:p>
    <w:p>
      <w:pPr>
        <w:spacing w:before="0" w:after="40" w:line="240" w:lineRule="auto"/>
      </w:pPr>
      <w:r>
        <w:rPr>
          <w:rFonts w:ascii="Aptos" w:hAnsi="Aptos" w:cs="Aptos"/>
          <w:b w:val="0"/>
          <w:i w:val="0"/>
          <w:color w:val="555560"/>
          <w:sz w:val="17"/>
        </w:rPr>
        <w:t>[6] Rockafellar, R.T., Uryasev, S. (2000). Optimization of Conditional Value-at-Risk. Journal of Risk, 2(3), 21–41.</w:t>
      </w:r>
    </w:p>
    <w:p>
      <w:pPr>
        <w:spacing w:before="0" w:after="40" w:line="240" w:lineRule="auto"/>
      </w:pPr>
      <w:r>
        <w:rPr>
          <w:rFonts w:ascii="Aptos" w:hAnsi="Aptos" w:cs="Aptos"/>
          <w:b w:val="0"/>
          <w:i w:val="0"/>
          <w:color w:val="555560"/>
          <w:sz w:val="17"/>
        </w:rPr>
        <w:t>[7] Birge, J.R., Louveaux, F. (2011). Introduction to Stochastic Programming, 2nd ed. Springer.</w:t>
      </w:r>
    </w:p>
    <w:p>
      <w:pPr>
        <w:spacing w:before="0" w:after="40" w:line="240" w:lineRule="auto"/>
      </w:pPr>
      <w:r>
        <w:rPr>
          <w:rFonts w:ascii="Aptos" w:hAnsi="Aptos" w:cs="Aptos"/>
          <w:b w:val="0"/>
          <w:i w:val="0"/>
          <w:color w:val="555560"/>
          <w:sz w:val="17"/>
        </w:rPr>
        <w:t>[8] PVGIS (EU JRC) hourly series, University of Warwick (52.3838, −1.5616); National Grid ESO Carbon Intensity API, West Midlands (region 8).</w:t>
      </w:r>
    </w:p>
    <w:p>
      <w:pPr>
        <w:spacing w:before="0" w:after="40" w:line="240" w:lineRule="auto"/>
      </w:pPr>
      <w:r>
        <w:rPr>
          <w:rFonts w:ascii="Aptos" w:hAnsi="Aptos" w:cs="Aptos"/>
          <w:b w:val="0"/>
          <w:i w:val="0"/>
          <w:color w:val="555560"/>
          <w:sz w:val="17"/>
        </w:rPr>
        <w:t>[9] Cost &amp; performance benchmarks: BEIS, IRENA, BloombergNEF, IEA PVPS, Fraunhofer ISE — see REFERENCES.md.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cs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