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E5395"/>
          <w:spacing w:val="20"/>
          <w:sz w:val="22"/>
          <w:szCs w:val="22"/>
        </w:rPr>
        <w:t xml:space="preserve">DIGITAL LOAN ORIGINATION SYSTEM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Functional Requirement
Document (FRD)</w:t>
      </w:r>
    </w:p>
    <w:p>
      <w:pPr>
        <w:pBdr>
          <w:bottom w:val="single" w:color="2E5395" w:sz="6" w:space="8"/>
        </w:pBdr>
        <w:spacing w:after="900"/>
        <w:jc w:val="center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Project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Digital Loan Origination System (LOS)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1.1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Author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Gourav (Business Analyst)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Status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Approved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Reference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BRD 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14-Jul-2026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Gourav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version derived from BRD v1.0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16-Jul-2026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Gourav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Added FR-02.4 (configurable risk threshold) per MOM action item #1, 14-Jul-2026</w:t>
            </w:r>
          </w:p>
        </w:tc>
      </w:tr>
    </w:tbl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FRD translates the business requirements defined in the BRD into detailed functional specifications describing exactly how the system should behave. Each functional requirement is traceable to a parent business requirement.</w:t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Functional Requirements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2.1 Loan Application Submission (linked to BR-01)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0"/>
        <w:gridCol w:w="16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6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FR-01.1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provide a multi-step form: Applicant Details → Loan Details → Documents → Review &amp; Submit.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FR-01.2</w:t>
            </w:r>
          </w:p>
        </w:tc>
        <w:tc>
          <w:tcPr>
            <w:tcW w:type="dxa" w:w="6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validate PAN format and mandatory fields before allowing progression to the next step.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FR-01.3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allow upload of KYC (ID/Address proof) and income proof documents in PDF/JPEG, max 5MB each.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FR-01.4</w:t>
            </w:r>
          </w:p>
        </w:tc>
        <w:tc>
          <w:tcPr>
            <w:tcW w:type="dxa" w:w="6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generate a unique Application ID upon successful submission.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</w:tbl>
    <w:p/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2.2 Credit Score Fetch (linked to BR-02)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0"/>
        <w:gridCol w:w="16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6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FR-02.1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call the Credit Bureau API with the applicant's PAN immediately after submission.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FR-02.2</w:t>
            </w:r>
          </w:p>
        </w:tc>
        <w:tc>
          <w:tcPr>
            <w:tcW w:type="dxa" w:w="6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store the returned credit score and report against the Application ID.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FR-02.3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the Credit Bureau API fails or times out, the system shall flag the application for manual credit check.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FR-02.4</w:t>
            </w:r>
          </w:p>
        </w:tc>
        <w:tc>
          <w:tcPr>
            <w:tcW w:type="dxa" w:w="6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allow an authorised business user to configure the “High Risk” credit-score threshold (default 650) via an admin settings screen, without requiring a code deployment.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</w:tbl>
    <w:p>
      <w:pPr>
        <w:pBdr>
          <w:left w:val="single" w:color="D9A400" w:sz="18" w:space="6"/>
        </w:pBdr>
        <w:shd w:fill="FFF4CC" w:val="clear"/>
        <w:spacing w:after="200" w:before="100"/>
      </w:pPr>
      <w:r>
        <w:rPr>
          <w:rFonts w:ascii="Calibri" w:cs="Calibri" w:eastAsia="Calibri" w:hAnsi="Calibri"/>
          <w:i/>
          <w:iCs/>
          <w:color w:val="7A5C00"/>
          <w:sz w:val="20"/>
          <w:szCs w:val="20"/>
        </w:rPr>
        <w:t xml:space="preserve">FR-02.4 added on 16-Jul-2026 to close the gap identified in the 14-Jul-2026 requirement review meeting, where the Head of Retail Lending requested the risk-flag threshold be configurable rather than hardcoded (see MOM, Decision #2).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2.3 Loan Officer Review (linked to BR-03)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0"/>
        <w:gridCol w:w="16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6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FR-03.1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display a review queue of submitted applications with credit score and risk flag to the loan officer.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FR-03.2</w:t>
            </w:r>
          </w:p>
        </w:tc>
        <w:tc>
          <w:tcPr>
            <w:tcW w:type="dxa" w:w="6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allow the loan officer to Approve or Reject an application with mandatory remarks.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FR-03.3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lock an application from edits once a decision is recorded.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</w:tbl>
    <w:p/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2.4 Notifications (linked to BR-04)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0"/>
        <w:gridCol w:w="16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6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FR-04.1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send an SMS and email to the applicant within 5 minutes of a decision being recorded.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FR-04.2</w:t>
            </w:r>
          </w:p>
        </w:tc>
        <w:tc>
          <w:tcPr>
            <w:tcW w:type="dxa" w:w="6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approval, the system shall attach a system-generated sanction letter (PDF) to the notification email.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</w:tbl>
    <w:p/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2.5 MIS Reporting (linked to BR-05)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0"/>
        <w:gridCol w:w="16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6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FR-05.1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generate a daily report showing applications received, approved, rejected, and average turnaround time.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</w:tbl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Business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BR-Rule-01: An application cannot be submitted without all mandatory documents uploaded.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BR-Rule-02: A credit score below the configured threshold (default 650) shall be auto-flagged as “High Risk” for the loan officer.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BR-Rule-03: Loan officers cannot approve their own submitted test applications (segregation of duties).</w:t>
      </w:r>
    </w:p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Assumptions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Credit Bureau API supports PAN-based score lookup with sub-10-second response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SMS/Email gateway is available and configured for transactional notifications.</w:t>
      </w:r>
    </w:p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Approval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1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Gourav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Head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0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Digital Loan Origination System</w:t>
    </w:r>
    <w:r>
      <w:rPr>
        <w:rFonts w:ascii="Calibri" w:cs="Calibri" w:eastAsia="Calibri" w:hAnsi="Calibri"/>
        <w:color w:val="595959"/>
        <w:sz w:val="16"/>
        <w:szCs w:val="16"/>
      </w:rPr>
      <w:t xml:space="preserve">	Functional Requirement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2026-07-14T09:02:06.563Z</dcterms:created>
  <dcterms:modified xsi:type="dcterms:W3CDTF">2026-07-14T09:02:06.564Z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