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Calibri" w:cs="Calibri" w:eastAsia="Calibri" w:hAnsi="Calibri"/>
          <w:b/>
          <w:bCs/>
          <w:color w:val="2E5395"/>
          <w:spacing w:val="20"/>
          <w:sz w:val="22"/>
          <w:szCs w:val="22"/>
        </w:rPr>
        <w:t xml:space="preserve">DIGITAL LOAN ORIGINATION SYSTEM</w:t>
      </w:r>
    </w:p>
    <w:p>
      <w:pPr>
        <w:spacing w:after="5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Gap Analysis Document</w:t>
      </w:r>
    </w:p>
    <w:p>
      <w:pPr>
        <w:pBdr>
          <w:bottom w:val="single" w:color="2E5395" w:sz="6" w:space="8"/>
        </w:pBdr>
        <w:spacing w:after="900"/>
        <w:jc w:val="center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Project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Digital Loan Origination System (LOS)</w:t>
            </w:r>
          </w:p>
        </w:tc>
      </w:tr>
      <w:tr>
        <w:tc>
          <w:tcPr>
            <w:tcW w:type="dxa" w:w="28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Document Version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dxa" w:w="28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Author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Gourav (Business Analyst)</w:t>
            </w:r>
          </w:p>
        </w:tc>
      </w:tr>
      <w:tr>
        <w:tc>
          <w:tcPr>
            <w:tcW w:type="dxa" w:w="28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Status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Approved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395" w:sz="4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Executive Summary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This document compares the current (“AS-IS”) personal loan process with the desired future (“TO-BE”) state to identify the gaps that the Digital Loan Origination System project must address.</w:t>
      </w:r>
    </w:p>
    <w:p>
      <w:pPr>
        <w:pStyle w:val="Heading1"/>
        <w:pBdr>
          <w:bottom w:val="single" w:color="2E5395" w:sz="4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Gap Analysis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2400"/>
        <w:gridCol w:w="26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AS-IS (Current)</w:t>
            </w:r>
          </w:p>
        </w:tc>
        <w:tc>
          <w:tcPr>
            <w:tcW w:type="dxa" w:w="2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TO-BE (Future)</w:t>
            </w:r>
          </w:p>
        </w:tc>
        <w:tc>
          <w:tcPr>
            <w:tcW w:type="dxa" w:w="2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Gap / Recommendation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Application Submission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Applicant visits branch, fills paper form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Online multi-step application form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digital intake exists — build an online application portal</w:t>
            </w:r>
          </w:p>
        </w:tc>
      </w:tr>
      <w:tr>
        <w:tc>
          <w:tcPr>
            <w:tcW w:type="dxa" w:w="1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Credit Check</w:t>
            </w:r>
          </w:p>
        </w:tc>
        <w:tc>
          <w:tcPr>
            <w:tcW w:type="dxa" w:w="24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Loan officer manually pulls credit report</w:t>
            </w:r>
          </w:p>
        </w:tc>
        <w:tc>
          <w:tcPr>
            <w:tcW w:type="dxa" w:w="24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Auto-fetched via Credit Bureau API on submission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API integration currently — integrate with a credit bureau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 Verification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Physical documents collected and manually filed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Digital upload with online verification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document management system — add secure upload &amp; storage</w:t>
            </w:r>
          </w:p>
        </w:tc>
      </w:tr>
      <w:tr>
        <w:tc>
          <w:tcPr>
            <w:tcW w:type="dxa" w:w="1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Decisioning</w:t>
            </w:r>
          </w:p>
        </w:tc>
        <w:tc>
          <w:tcPr>
            <w:tcW w:type="dxa" w:w="24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 review, decision recorded on paper file</w:t>
            </w:r>
          </w:p>
        </w:tc>
        <w:tc>
          <w:tcPr>
            <w:tcW w:type="dxa" w:w="24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Digital review queue with risk flags, decision logged in system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digital workflow — build a loan officer review dashboard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Applicant Communication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Phone call or branch visit for status updates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Automated SMS/email notifications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automated notification system — integrate SMS/email gateway</w:t>
            </w:r>
          </w:p>
        </w:tc>
      </w:tr>
      <w:tr>
        <w:tc>
          <w:tcPr>
            <w:tcW w:type="dxa" w:w="1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Reporting</w:t>
            </w:r>
          </w:p>
        </w:tc>
        <w:tc>
          <w:tcPr>
            <w:tcW w:type="dxa" w:w="24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 monthly count by branch staff</w:t>
            </w:r>
          </w:p>
        </w:tc>
        <w:tc>
          <w:tcPr>
            <w:tcW w:type="dxa" w:w="24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Automated daily MIS report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reporting tool — build an MIS dashboard/export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Risk Policy Configuration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applicable — risk assessment was entirely manual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Business-configurable credit-score risk threshold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configuration capability specified in v1.0 — added as BR-06 / FR-02.4 after requirement review (14-Jul-2026)</w:t>
            </w:r>
          </w:p>
        </w:tc>
      </w:tr>
    </w:tbl>
    <w:p/>
    <w:p>
      <w:pPr>
        <w:pStyle w:val="Heading1"/>
        <w:pBdr>
          <w:bottom w:val="single" w:color="2E5395" w:sz="4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Impact of Closing the Gaps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Reduction in average turnaround time from 5–7 days to under 24 hours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Reduced manual effort for loan officers on credit checks and filing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Improved applicant experience and expected increase in application volume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Real-time visibility into application pipeline for management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000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Digital Loan Origination System</w:t>
    </w:r>
    <w:r>
      <w:rPr>
        <w:rFonts w:ascii="Calibri" w:cs="Calibri" w:eastAsia="Calibri" w:hAnsi="Calibri"/>
        <w:color w:val="595959"/>
        <w:sz w:val="16"/>
        <w:szCs w:val="16"/>
      </w:rPr>
      <w:t xml:space="preserve">	Gap Analysis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2026-07-14T09:04:28.944Z</dcterms:created>
  <dcterms:modified xsi:type="dcterms:W3CDTF">2026-07-14T09:04:28.945Z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