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Minutes of Meeting
(MOM)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Meeting Topic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Requirement Review — Digital Loan Origination System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Date &amp; Time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14-Jul-2026, 3:00 PM – 4:00 PM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Location / Mode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MS Teams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Attendees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Head of Retail Lending (Sponsor)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 Head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Gourav — Business Analyst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Agenda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Review BRD v1.0 (BR-01 to BR-05)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credit bureau vendor and integration approach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Discuss go-live timeline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Reviewed all five business requirements; no major concerns raised on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 Head confirmed that credit bureau API access typically takes 3–4 weeks to provision after contract sign-off, which affects the Week 6 integration milestone.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Head of Retail Lending requested that the “High Risk” auto-flag threshold (650) be configurable by business users rather than hardcoded.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Decisions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bureau vendor contracting to be expedited to avoid delaying the integration milestone.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risk-flag credit score threshold will be made configurable (added as BR-06 in BRD v1.0 and FR-02.4 in FRD v1.1).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Action Items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000"/>
        <w:gridCol w:w="1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FRD to add configurable risk threshold (FR-02.4)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16-Jul-2026 — Completed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Expedite credit bureau vendor contract</w:t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Head</w:t>
            </w:r>
          </w:p>
        </w:tc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21-Jul-2026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SMS/email gateway vendor for notifications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Head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21-Jul-2026</w:t>
            </w:r>
          </w:p>
        </w:tc>
      </w:tr>
    </w:tbl>
    <w:p>
      <w:pPr>
        <w:pBdr>
          <w:left w:val="single" w:color="D9A400" w:sz="18" w:space="6"/>
        </w:pBd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20"/>
          <w:szCs w:val="20"/>
        </w:rPr>
        <w:t xml:space="preserve">Action Item #1 status updated to “Completed” — FRD v1.1, BRD (BR-06), and RTM (BR-06) were updated on 16-Jul-2026 to reflect this decision.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Minutes of Meeting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2026-07-14T09:04:29.527Z</dcterms:created>
  <dcterms:modified xsi:type="dcterms:W3CDTF">2026-07-14T09:04:29.527Z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