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2E5395"/>
          <w:spacing w:val="20"/>
          <w:sz w:val="22"/>
          <w:szCs w:val="22"/>
        </w:rPr>
        <w:t xml:space="preserve">DIGITAL LOAN ORIGINATION SYSTEM</w:t>
      </w:r>
    </w:p>
    <w:p>
      <w:pPr>
        <w:spacing w:after="500"/>
        <w:jc w:val="center"/>
      </w:pPr>
      <w:r>
        <w:rPr>
          <w:rFonts w:ascii="Calibri" w:cs="Calibri" w:eastAsia="Calibri" w:hAnsi="Calibri"/>
          <w:b/>
          <w:bCs/>
          <w:color w:val="1F3864"/>
          <w:sz w:val="56"/>
          <w:szCs w:val="56"/>
        </w:rPr>
        <w:t xml:space="preserve">Project Charter</w:t>
      </w:r>
    </w:p>
    <w:p>
      <w:pPr>
        <w:pBdr>
          <w:bottom w:val="single" w:color="2E5395" w:sz="6" w:space="8"/>
        </w:pBdr>
        <w:spacing w:after="900"/>
        <w:jc w:val="center"/>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Project</w:t>
            </w:r>
          </w:p>
        </w:tc>
        <w:tc>
          <w:tcPr>
            <w:tcW w:type="dxa" w:w="6200"/>
            <w:tcMar>
              <w:top w:type="dxa" w:w="100"/>
              <w:left w:type="dxa" w:w="150"/>
              <w:bottom w:type="dxa" w:w="100"/>
              <w:right w:type="dxa" w:w="150"/>
            </w:tcMar>
          </w:tcPr>
          <w:p>
            <w:r>
              <w:rPr>
                <w:rFonts w:ascii="Calibri" w:cs="Calibri" w:eastAsia="Calibri" w:hAnsi="Calibri"/>
                <w:sz w:val="21"/>
                <w:szCs w:val="21"/>
              </w:rPr>
              <w:t xml:space="preserve">Digital Loan Origination System (LOS)</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Document Version</w:t>
            </w:r>
          </w:p>
        </w:tc>
        <w:tc>
          <w:tcPr>
            <w:tcW w:type="dxa" w:w="6200"/>
            <w:tcMar>
              <w:top w:type="dxa" w:w="100"/>
              <w:left w:type="dxa" w:w="150"/>
              <w:bottom w:type="dxa" w:w="100"/>
              <w:right w:type="dxa" w:w="150"/>
            </w:tcMar>
          </w:tcPr>
          <w:p>
            <w:r>
              <w:rPr>
                <w:rFonts w:ascii="Calibri" w:cs="Calibri" w:eastAsia="Calibri" w:hAnsi="Calibri"/>
                <w:sz w:val="21"/>
                <w:szCs w:val="21"/>
              </w:rPr>
              <w:t xml:space="preserve">1.0</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Author</w:t>
            </w:r>
          </w:p>
        </w:tc>
        <w:tc>
          <w:tcPr>
            <w:tcW w:type="dxa" w:w="6200"/>
            <w:tcMar>
              <w:top w:type="dxa" w:w="100"/>
              <w:left w:type="dxa" w:w="150"/>
              <w:bottom w:type="dxa" w:w="100"/>
              <w:right w:type="dxa" w:w="150"/>
            </w:tcMar>
          </w:tcPr>
          <w:p>
            <w:r>
              <w:rPr>
                <w:rFonts w:ascii="Calibri" w:cs="Calibri" w:eastAsia="Calibri" w:hAnsi="Calibri"/>
                <w:sz w:val="21"/>
                <w:szCs w:val="21"/>
              </w:rPr>
              <w:t xml:space="preserve">Gourav (Business Analyst)</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Status</w:t>
            </w:r>
          </w:p>
        </w:tc>
        <w:tc>
          <w:tcPr>
            <w:tcW w:type="dxa" w:w="6200"/>
            <w:tcMar>
              <w:top w:type="dxa" w:w="100"/>
              <w:left w:type="dxa" w:w="150"/>
              <w:bottom w:type="dxa" w:w="100"/>
              <w:right w:type="dxa" w:w="150"/>
            </w:tcMar>
          </w:tcPr>
          <w:p>
            <w:r>
              <w:rPr>
                <w:rFonts w:ascii="Calibri" w:cs="Calibri" w:eastAsia="Calibri" w:hAnsi="Calibri"/>
                <w:sz w:val="21"/>
                <w:szCs w:val="21"/>
              </w:rPr>
              <w:t xml:space="preserve">Approved</w:t>
            </w:r>
          </w:p>
        </w:tc>
      </w:tr>
      <w:tr>
        <w:tc>
          <w:tcPr>
            <w:tcW w:type="dxa" w:w="2800"/>
            <w:shd w:fill="DCE6F1" w:val="clear"/>
            <w:tcMar>
              <w:top w:type="dxa" w:w="100"/>
              <w:left w:type="dxa" w:w="150"/>
              <w:bottom w:type="dxa" w:w="100"/>
              <w:right w:type="dxa" w:w="150"/>
            </w:tcMar>
          </w:tcPr>
          <w:p>
            <w:r>
              <w:rPr>
                <w:rFonts w:ascii="Calibri" w:cs="Calibri" w:eastAsia="Calibri" w:hAnsi="Calibri"/>
                <w:b/>
                <w:bCs/>
                <w:color w:val="1F3864"/>
                <w:sz w:val="21"/>
                <w:szCs w:val="21"/>
              </w:rPr>
              <w:t xml:space="preserve">Reference</w:t>
            </w:r>
          </w:p>
        </w:tc>
        <w:tc>
          <w:tcPr>
            <w:tcW w:type="dxa" w:w="6200"/>
            <w:tcMar>
              <w:top w:type="dxa" w:w="100"/>
              <w:left w:type="dxa" w:w="150"/>
              <w:bottom w:type="dxa" w:w="100"/>
              <w:right w:type="dxa" w:w="150"/>
            </w:tcMar>
          </w:tcPr>
          <w:p>
            <w:r>
              <w:rPr>
                <w:rFonts w:ascii="Calibri" w:cs="Calibri" w:eastAsia="Calibri" w:hAnsi="Calibri"/>
                <w:sz w:val="21"/>
                <w:szCs w:val="21"/>
              </w:rPr>
              <w:t xml:space="preserve">Sponsor: Head of Retail Lending</w:t>
            </w:r>
          </w:p>
        </w:tc>
      </w:tr>
    </w:tbl>
    <w:p>
      <w:r>
        <w:br w:type="page"/>
      </w:r>
    </w:p>
    <w:p>
      <w:pPr>
        <w:pStyle w:val="Heading1"/>
        <w:pBdr>
          <w:bottom w:val="single" w:color="2E5395" w:sz="4" w:space="4"/>
        </w:pBdr>
        <w:spacing w:after="160" w:before="320"/>
      </w:pPr>
      <w:r>
        <w:rPr>
          <w:rFonts w:ascii="Calibri" w:cs="Calibri" w:eastAsia="Calibri" w:hAnsi="Calibri"/>
          <w:b/>
          <w:bCs/>
          <w:color w:val="1F3864"/>
          <w:sz w:val="28"/>
          <w:szCs w:val="28"/>
        </w:rPr>
        <w:t xml:space="preserve">1. Project Purpose</w:t>
      </w:r>
    </w:p>
    <w:p>
      <w:pPr>
        <w:spacing w:after="160" w:line="276"/>
      </w:pPr>
      <w:r>
        <w:rPr>
          <w:rFonts w:ascii="Calibri" w:cs="Calibri" w:eastAsia="Calibri" w:hAnsi="Calibri"/>
          <w:sz w:val="21"/>
          <w:szCs w:val="21"/>
        </w:rPr>
        <w:t xml:space="preserve">To digitize the personal loan application and decisioning process, reducing turnaround time from 5–7 business days to under 24 hours, by launching an online application portal integrated with an automated credit bureau check.</w:t>
      </w:r>
    </w:p>
    <w:p>
      <w:pPr>
        <w:pStyle w:val="Heading1"/>
        <w:pBdr>
          <w:bottom w:val="single" w:color="2E5395" w:sz="4" w:space="4"/>
        </w:pBdr>
        <w:spacing w:after="160" w:before="320"/>
      </w:pPr>
      <w:r>
        <w:rPr>
          <w:rFonts w:ascii="Calibri" w:cs="Calibri" w:eastAsia="Calibri" w:hAnsi="Calibri"/>
          <w:b/>
          <w:bCs/>
          <w:color w:val="1F3864"/>
          <w:sz w:val="28"/>
          <w:szCs w:val="28"/>
        </w:rPr>
        <w:t xml:space="preserve">2. Objectives</w:t>
      </w:r>
    </w:p>
    <w:p>
      <w:pPr>
        <w:pStyle w:val="ListParagraph"/>
        <w:numPr>
          <w:ilvl w:val="0"/>
          <w:numId w:val="1"/>
        </w:numPr>
        <w:spacing w:after="80"/>
      </w:pPr>
      <w:r>
        <w:rPr>
          <w:rFonts w:ascii="Calibri" w:cs="Calibri" w:eastAsia="Calibri" w:hAnsi="Calibri"/>
          <w:sz w:val="21"/>
          <w:szCs w:val="21"/>
        </w:rPr>
        <w:t xml:space="preserve">Reduce loan application turnaround time to under 24 hours for 80% of applications</w:t>
      </w:r>
    </w:p>
    <w:p>
      <w:pPr>
        <w:pStyle w:val="ListParagraph"/>
        <w:numPr>
          <w:ilvl w:val="0"/>
          <w:numId w:val="1"/>
        </w:numPr>
        <w:spacing w:after="80"/>
      </w:pPr>
      <w:r>
        <w:rPr>
          <w:rFonts w:ascii="Calibri" w:cs="Calibri" w:eastAsia="Calibri" w:hAnsi="Calibri"/>
          <w:sz w:val="21"/>
          <w:szCs w:val="21"/>
        </w:rPr>
        <w:t xml:space="preserve">Increase application volume by 30% within the first 6 months by removing branch-visit friction</w:t>
      </w:r>
    </w:p>
    <w:p>
      <w:pPr>
        <w:pStyle w:val="ListParagraph"/>
        <w:numPr>
          <w:ilvl w:val="0"/>
          <w:numId w:val="1"/>
        </w:numPr>
        <w:spacing w:after="80"/>
      </w:pPr>
      <w:r>
        <w:rPr>
          <w:rFonts w:ascii="Calibri" w:cs="Calibri" w:eastAsia="Calibri" w:hAnsi="Calibri"/>
          <w:sz w:val="21"/>
          <w:szCs w:val="21"/>
        </w:rPr>
        <w:t xml:space="preserve">Reduce manual credit-check effort for loan officers by automating credit bureau lookups</w:t>
      </w:r>
    </w:p>
    <w:p/>
    <w:p>
      <w:pPr>
        <w:pStyle w:val="Heading1"/>
        <w:pBdr>
          <w:bottom w:val="single" w:color="2E5395" w:sz="4" w:space="4"/>
        </w:pBdr>
        <w:spacing w:after="160" w:before="320"/>
      </w:pPr>
      <w:r>
        <w:rPr>
          <w:rFonts w:ascii="Calibri" w:cs="Calibri" w:eastAsia="Calibri" w:hAnsi="Calibri"/>
          <w:b/>
          <w:bCs/>
          <w:color w:val="1F3864"/>
          <w:sz w:val="28"/>
          <w:szCs w:val="28"/>
        </w:rPr>
        <w:t xml:space="preserve">3. Scope Summary</w:t>
      </w:r>
    </w:p>
    <w:p>
      <w:pPr>
        <w:spacing w:after="160" w:line="276"/>
      </w:pPr>
      <w:r>
        <w:rPr>
          <w:rFonts w:ascii="Calibri" w:cs="Calibri" w:eastAsia="Calibri" w:hAnsi="Calibri"/>
          <w:sz w:val="21"/>
          <w:szCs w:val="21"/>
        </w:rPr>
        <w:t xml:space="preserve">In scope: Online application submission, digital KYC upload, automated credit score fetch (with configurable risk threshold), loan officer review/decision workflow, applicant notifications, MIS reporting.</w:t>
      </w:r>
    </w:p>
    <w:p>
      <w:pPr>
        <w:spacing w:after="160" w:line="276"/>
      </w:pPr>
      <w:r>
        <w:rPr>
          <w:rFonts w:ascii="Calibri" w:cs="Calibri" w:eastAsia="Calibri" w:hAnsi="Calibri"/>
          <w:sz w:val="21"/>
          <w:szCs w:val="21"/>
        </w:rPr>
        <w:t xml:space="preserve">Out of scope: Secured loans, disbursement and repayment tracking, core banking integration (Phase 2).</w:t>
      </w:r>
    </w:p>
    <w:p>
      <w:pPr>
        <w:pStyle w:val="Heading1"/>
        <w:pBdr>
          <w:bottom w:val="single" w:color="2E5395" w:sz="4" w:space="4"/>
        </w:pBdr>
        <w:spacing w:after="160" w:before="320"/>
      </w:pPr>
      <w:r>
        <w:rPr>
          <w:rFonts w:ascii="Calibri" w:cs="Calibri" w:eastAsia="Calibri" w:hAnsi="Calibri"/>
          <w:b/>
          <w:bCs/>
          <w:color w:val="1F3864"/>
          <w:sz w:val="28"/>
          <w:szCs w:val="28"/>
        </w:rPr>
        <w:t xml:space="preserve">4. Milestones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000"/>
        <w:gridCol w:w="3900"/>
      </w:tblGrid>
      <w:tr>
        <w:trPr>
          <w:tblHeader/>
        </w:trPr>
        <w:tc>
          <w:tcPr>
            <w:tcW w:type="dxa" w:w="50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Milestone</w:t>
            </w:r>
          </w:p>
        </w:tc>
        <w:tc>
          <w:tcPr>
            <w:tcW w:type="dxa" w:w="39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Target Date</w:t>
            </w:r>
          </w:p>
        </w:tc>
      </w:tr>
      <w:tr>
        <w:tc>
          <w:tcPr>
            <w:tcW w:type="dxa" w:w="5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Requirement sign-off (BRD/FRD)</w:t>
            </w:r>
          </w:p>
        </w:tc>
        <w:tc>
          <w:tcPr>
            <w:tcW w:type="dxa" w:w="3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Week 2</w:t>
            </w:r>
          </w:p>
        </w:tc>
      </w:tr>
      <w:tr>
        <w:tc>
          <w:tcPr>
            <w:tcW w:type="dxa" w:w="50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Credit Bureau API integration complete</w:t>
            </w:r>
          </w:p>
        </w:tc>
        <w:tc>
          <w:tcPr>
            <w:tcW w:type="dxa" w:w="39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Week 6</w:t>
            </w:r>
          </w:p>
        </w:tc>
      </w:tr>
      <w:tr>
        <w:tc>
          <w:tcPr>
            <w:tcW w:type="dxa" w:w="5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Design &amp; development complete</w:t>
            </w:r>
          </w:p>
        </w:tc>
        <w:tc>
          <w:tcPr>
            <w:tcW w:type="dxa" w:w="3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Week 9</w:t>
            </w:r>
          </w:p>
        </w:tc>
      </w:tr>
      <w:tr>
        <w:tc>
          <w:tcPr>
            <w:tcW w:type="dxa" w:w="50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UAT</w:t>
            </w:r>
          </w:p>
        </w:tc>
        <w:tc>
          <w:tcPr>
            <w:tcW w:type="dxa" w:w="39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Week 11</w:t>
            </w:r>
          </w:p>
        </w:tc>
      </w:tr>
      <w:tr>
        <w:tc>
          <w:tcPr>
            <w:tcW w:type="dxa" w:w="5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Go-live</w:t>
            </w:r>
          </w:p>
        </w:tc>
        <w:tc>
          <w:tcPr>
            <w:tcW w:type="dxa" w:w="39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Week 12</w:t>
            </w:r>
          </w:p>
        </w:tc>
      </w:tr>
    </w:tbl>
    <w:p/>
    <w:p>
      <w:pPr>
        <w:pStyle w:val="Heading1"/>
        <w:pBdr>
          <w:bottom w:val="single" w:color="2E5395" w:sz="4" w:space="4"/>
        </w:pBdr>
        <w:spacing w:after="160" w:before="320"/>
      </w:pPr>
      <w:r>
        <w:rPr>
          <w:rFonts w:ascii="Calibri" w:cs="Calibri" w:eastAsia="Calibri" w:hAnsi="Calibri"/>
          <w:b/>
          <w:bCs/>
          <w:color w:val="1F3864"/>
          <w:sz w:val="28"/>
          <w:szCs w:val="28"/>
        </w:rPr>
        <w:t xml:space="preserve">5. Budget</w:t>
      </w:r>
    </w:p>
    <w:p>
      <w:pPr>
        <w:spacing w:after="160" w:line="276"/>
      </w:pPr>
      <w:r>
        <w:rPr>
          <w:rFonts w:ascii="Calibri" w:cs="Calibri" w:eastAsia="Calibri" w:hAnsi="Calibri"/>
          <w:sz w:val="21"/>
          <w:szCs w:val="21"/>
        </w:rPr>
        <w:t xml:space="preserve">Budget approved under the bank's FY26 digital lending initiative. Detailed cost breakdown maintained separately by the PMO.</w:t>
      </w:r>
    </w:p>
    <w:p>
      <w:pPr>
        <w:pStyle w:val="Heading1"/>
        <w:pBdr>
          <w:bottom w:val="single" w:color="2E5395" w:sz="4" w:space="4"/>
        </w:pBdr>
        <w:spacing w:after="160" w:before="320"/>
      </w:pPr>
      <w:r>
        <w:rPr>
          <w:rFonts w:ascii="Calibri" w:cs="Calibri" w:eastAsia="Calibri" w:hAnsi="Calibri"/>
          <w:b/>
          <w:bCs/>
          <w:color w:val="1F3864"/>
          <w:sz w:val="28"/>
          <w:szCs w:val="28"/>
        </w:rPr>
        <w:t xml:space="preserve">6. Key Risks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400"/>
      </w:tblGrid>
      <w:tr>
        <w:trPr>
          <w:tblHeader/>
        </w:trPr>
        <w:tc>
          <w:tcPr>
            <w:tcW w:type="dxa" w:w="30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Risk</w:t>
            </w:r>
          </w:p>
        </w:tc>
        <w:tc>
          <w:tcPr>
            <w:tcW w:type="dxa" w:w="15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Impact</w:t>
            </w:r>
          </w:p>
        </w:tc>
        <w:tc>
          <w:tcPr>
            <w:tcW w:type="dxa" w:w="44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Mitigation</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Credit Bureau API integration delay</w:t>
            </w:r>
          </w:p>
        </w:tc>
        <w:tc>
          <w:tcPr>
            <w:tcW w:type="dxa" w:w="15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44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Finalize vendor contract and sandbox access by Week 2</w:t>
            </w:r>
          </w:p>
        </w:tc>
      </w:tr>
      <w:tr>
        <w:tc>
          <w:tcPr>
            <w:tcW w:type="dxa" w:w="30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Low applicant adoption at launch</w:t>
            </w:r>
          </w:p>
        </w:tc>
        <w:tc>
          <w:tcPr>
            <w:tcW w:type="dxa" w:w="15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Medium</w:t>
            </w:r>
          </w:p>
        </w:tc>
        <w:tc>
          <w:tcPr>
            <w:tcW w:type="dxa" w:w="44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In-app and SMS awareness campaign at launch</w:t>
            </w:r>
          </w:p>
        </w:tc>
      </w:tr>
      <w:tr>
        <w:tc>
          <w:tcPr>
            <w:tcW w:type="dxa" w:w="3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Regulatory/compliance gaps in digital lending</w:t>
            </w:r>
          </w:p>
        </w:tc>
        <w:tc>
          <w:tcPr>
            <w:tcW w:type="dxa" w:w="15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44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Legal and compliance review before go-live</w:t>
            </w:r>
          </w:p>
        </w:tc>
      </w:tr>
      <w:tr>
        <w:tc>
          <w:tcPr>
            <w:tcW w:type="dxa" w:w="30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Credit bureau vendor takes 3–4 weeks to provision API access post contract sign-off, threatening the Week 6 milestone</w:t>
            </w:r>
          </w:p>
        </w:tc>
        <w:tc>
          <w:tcPr>
            <w:tcW w:type="dxa" w:w="15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High</w:t>
            </w:r>
          </w:p>
        </w:tc>
        <w:tc>
          <w:tcPr>
            <w:tcW w:type="dxa" w:w="44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IT Head to expedite vendor contracting (tracked in MOM, 14-Jul-2026)</w:t>
            </w:r>
          </w:p>
        </w:tc>
      </w:tr>
    </w:tbl>
    <w:p>
      <w:pPr>
        <w:pBdr>
          <w:left w:val="single" w:color="D9A400" w:sz="18" w:space="6"/>
        </w:pBdr>
        <w:shd w:fill="FFF4CC" w:val="clear"/>
        <w:spacing w:after="200" w:before="100"/>
      </w:pPr>
      <w:r>
        <w:rPr>
          <w:rFonts w:ascii="Calibri" w:cs="Calibri" w:eastAsia="Calibri" w:hAnsi="Calibri"/>
          <w:i/>
          <w:iCs/>
          <w:color w:val="7A5C00"/>
          <w:sz w:val="20"/>
          <w:szCs w:val="20"/>
        </w:rPr>
        <w:t xml:space="preserve">Risk row 4 added to reflect a scheduling risk raised in the 14-Jul-2026 requirement review meeting that was not captured in the original charter.</w:t>
      </w:r>
    </w:p>
    <w:p>
      <w:pPr>
        <w:pStyle w:val="Heading1"/>
        <w:pBdr>
          <w:bottom w:val="single" w:color="2E5395" w:sz="4" w:space="4"/>
        </w:pBdr>
        <w:spacing w:after="160" w:before="320"/>
      </w:pPr>
      <w:r>
        <w:rPr>
          <w:rFonts w:ascii="Calibri" w:cs="Calibri" w:eastAsia="Calibri" w:hAnsi="Calibri"/>
          <w:b/>
          <w:bCs/>
          <w:color w:val="1F3864"/>
          <w:sz w:val="28"/>
          <w:szCs w:val="28"/>
        </w:rPr>
        <w:t xml:space="preserve">7. Stakeholders</w:t>
      </w:r>
    </w:p>
    <w:p>
      <w:pPr>
        <w:pStyle w:val="ListParagraph"/>
        <w:numPr>
          <w:ilvl w:val="0"/>
          <w:numId w:val="1"/>
        </w:numPr>
        <w:spacing w:after="80"/>
      </w:pPr>
      <w:r>
        <w:rPr>
          <w:rFonts w:ascii="Calibri" w:cs="Calibri" w:eastAsia="Calibri" w:hAnsi="Calibri"/>
          <w:sz w:val="21"/>
          <w:szCs w:val="21"/>
        </w:rPr>
        <w:t xml:space="preserve">Head of Retail Lending — Sponsor</w:t>
      </w:r>
    </w:p>
    <w:p>
      <w:pPr>
        <w:pStyle w:val="ListParagraph"/>
        <w:numPr>
          <w:ilvl w:val="0"/>
          <w:numId w:val="1"/>
        </w:numPr>
        <w:spacing w:after="80"/>
      </w:pPr>
      <w:r>
        <w:rPr>
          <w:rFonts w:ascii="Calibri" w:cs="Calibri" w:eastAsia="Calibri" w:hAnsi="Calibri"/>
          <w:sz w:val="21"/>
          <w:szCs w:val="21"/>
        </w:rPr>
        <w:t xml:space="preserve">IT Head — Technical Approver</w:t>
      </w:r>
    </w:p>
    <w:p>
      <w:pPr>
        <w:pStyle w:val="ListParagraph"/>
        <w:numPr>
          <w:ilvl w:val="0"/>
          <w:numId w:val="1"/>
        </w:numPr>
        <w:spacing w:after="80"/>
      </w:pPr>
      <w:r>
        <w:rPr>
          <w:rFonts w:ascii="Calibri" w:cs="Calibri" w:eastAsia="Calibri" w:hAnsi="Calibri"/>
          <w:sz w:val="21"/>
          <w:szCs w:val="21"/>
        </w:rPr>
        <w:t xml:space="preserve">Business Analyst — Requirements &amp; coordination</w:t>
      </w:r>
    </w:p>
    <w:p>
      <w:pPr>
        <w:pStyle w:val="ListParagraph"/>
        <w:numPr>
          <w:ilvl w:val="0"/>
          <w:numId w:val="1"/>
        </w:numPr>
        <w:spacing w:after="80"/>
      </w:pPr>
      <w:r>
        <w:rPr>
          <w:rFonts w:ascii="Calibri" w:cs="Calibri" w:eastAsia="Calibri" w:hAnsi="Calibri"/>
          <w:sz w:val="21"/>
          <w:szCs w:val="21"/>
        </w:rPr>
        <w:t xml:space="preserve">Loan Officers, Applicants — End Users</w:t>
      </w:r>
    </w:p>
    <w:p/>
    <w:p>
      <w:pPr>
        <w:pStyle w:val="Heading1"/>
        <w:pBdr>
          <w:bottom w:val="single" w:color="2E5395" w:sz="4" w:space="4"/>
        </w:pBdr>
        <w:spacing w:after="160" w:before="320"/>
      </w:pPr>
      <w:r>
        <w:rPr>
          <w:rFonts w:ascii="Calibri" w:cs="Calibri" w:eastAsia="Calibri" w:hAnsi="Calibri"/>
          <w:b/>
          <w:bCs/>
          <w:color w:val="1F3864"/>
          <w:sz w:val="28"/>
          <w:szCs w:val="28"/>
        </w:rPr>
        <w:t xml:space="preserve">8. 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1800"/>
      </w:tblGrid>
      <w:tr>
        <w:trPr>
          <w:tblHeader/>
        </w:trPr>
        <w:tc>
          <w:tcPr>
            <w:tcW w:type="dxa" w:w="26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Role</w:t>
            </w:r>
          </w:p>
        </w:tc>
        <w:tc>
          <w:tcPr>
            <w:tcW w:type="dxa" w:w="26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Name</w:t>
            </w:r>
          </w:p>
        </w:tc>
        <w:tc>
          <w:tcPr>
            <w:tcW w:type="dxa" w:w="20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Signature</w:t>
            </w:r>
          </w:p>
        </w:tc>
        <w:tc>
          <w:tcPr>
            <w:tcW w:type="dxa" w:w="1800"/>
            <w:shd w:fill="1F3864"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Date</w:t>
            </w:r>
          </w:p>
        </w:tc>
      </w:tr>
      <w:tr>
        <w:tc>
          <w:tcPr>
            <w:tcW w:type="dxa" w:w="26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Business Analyst</w:t>
            </w:r>
          </w:p>
        </w:tc>
        <w:tc>
          <w:tcPr>
            <w:tcW w:type="dxa" w:w="26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Gourav</w:t>
            </w:r>
          </w:p>
        </w:tc>
        <w:tc>
          <w:tcPr>
            <w:tcW w:type="dxa" w:w="2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
            </w:r>
          </w:p>
        </w:tc>
        <w:tc>
          <w:tcPr>
            <w:tcW w:type="dxa" w:w="18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
            </w:r>
          </w:p>
        </w:tc>
      </w:tr>
      <w:tr>
        <w:tc>
          <w:tcPr>
            <w:tcW w:type="dxa" w:w="26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Project Sponsor</w:t>
            </w:r>
          </w:p>
        </w:tc>
        <w:tc>
          <w:tcPr>
            <w:tcW w:type="dxa" w:w="26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
            </w:r>
          </w:p>
        </w:tc>
        <w:tc>
          <w:tcPr>
            <w:tcW w:type="dxa" w:w="20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
            </w:r>
          </w:p>
        </w:tc>
        <w:tc>
          <w:tcPr>
            <w:tcW w:type="dxa" w:w="1800"/>
            <w:shd w:fill="F2F6FA" w:val="clear"/>
            <w:tcMar>
              <w:top w:type="dxa" w:w="80"/>
              <w:left w:type="dxa" w:w="120"/>
              <w:bottom w:type="dxa" w:w="80"/>
              <w:right w:type="dxa" w:w="120"/>
            </w:tcMar>
          </w:tcPr>
          <w:p>
            <w:pPr>
              <w:spacing w:after="0"/>
            </w:pPr>
            <w:r>
              <w:rPr>
                <w:rFonts w:ascii="Calibri" w:cs="Calibri" w:eastAsia="Calibri" w:hAnsi="Calibri"/>
                <w:sz w:val="20"/>
                <w:szCs w:val="20"/>
              </w:rPr>
              <w:t xml:space="preserve"/>
            </w:r>
          </w:p>
        </w:tc>
      </w:tr>
      <w:tr>
        <w:tc>
          <w:tcPr>
            <w:tcW w:type="dxa" w:w="26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IT Head</w:t>
            </w:r>
          </w:p>
        </w:tc>
        <w:tc>
          <w:tcPr>
            <w:tcW w:type="dxa" w:w="26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
            </w:r>
          </w:p>
        </w:tc>
        <w:tc>
          <w:tcPr>
            <w:tcW w:type="dxa" w:w="20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
            </w:r>
          </w:p>
        </w:tc>
        <w:tc>
          <w:tcPr>
            <w:tcW w:type="dxa" w:w="1800"/>
            <w:shd w:fill="FFFFFF" w:val="clear"/>
            <w:tcMar>
              <w:top w:type="dxa" w:w="80"/>
              <w:left w:type="dxa" w:w="120"/>
              <w:bottom w:type="dxa" w:w="80"/>
              <w:right w:type="dxa" w:w="120"/>
            </w:tcMar>
          </w:tcPr>
          <w:p>
            <w:pPr>
              <w:spacing w:after="0"/>
            </w:pPr>
            <w:r>
              <w:rPr>
                <w:rFonts w:ascii="Calibri" w:cs="Calibri" w:eastAsia="Calibri" w:hAnsi="Calibri"/>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00"/>
      </w:tabs>
    </w:pPr>
    <w:r>
      <w:rPr>
        <w:rFonts w:ascii="Calibri" w:cs="Calibri" w:eastAsia="Calibri" w:hAnsi="Calibri"/>
        <w:color w:val="595959"/>
        <w:sz w:val="16"/>
        <w:szCs w:val="16"/>
      </w:rPr>
      <w:t xml:space="preserve">Digital Loan Origination System</w:t>
    </w:r>
    <w:r>
      <w:rPr>
        <w:rFonts w:ascii="Calibri" w:cs="Calibri" w:eastAsia="Calibri" w:hAnsi="Calibri"/>
        <w:color w:val="595959"/>
        <w:sz w:val="16"/>
        <w:szCs w:val="16"/>
      </w:rPr>
      <w:t xml:space="preserve">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2026-07-14T09:04:29.128Z</dcterms:created>
  <dcterms:modified xsi:type="dcterms:W3CDTF">2026-07-14T09:04:29.128Z</dcterms:modified>
</cp:coreProperties>
</file>

<file path=docProps/custom.xml><?xml version="1.0" encoding="utf-8"?>
<Properties xmlns="http://schemas.openxmlformats.org/officeDocument/2006/custom-properties" xmlns:vt="http://schemas.openxmlformats.org/officeDocument/2006/docPropsVTypes"/>
</file>