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Requirement Traceability
Matrix (RTM)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Document Version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1.1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3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traceability matrix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16-Jul-2026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Added BR-06 (configurable risk threshold) to maintain traceability with FRD v1.1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Traceability Matrix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600"/>
        <w:gridCol w:w="1400"/>
        <w:gridCol w:w="1500"/>
        <w:gridCol w:w="1300"/>
      </w:tblGrid>
      <w:tr>
        <w:trPr>
          <w:tblHeader/>
        </w:trPr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1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FRD Ref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Ref</w:t>
            </w:r>
          </w:p>
        </w:tc>
        <w:tc>
          <w:tcPr>
            <w:tcW w:type="dxa" w:w="15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loan application submission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FR-01.1 to FR-01.4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DES-21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TC-101, TC-102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BR-02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credit score fetch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FR-02.1 to FR-02.3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DES-22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TC-103, TC-104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Loan officer review &amp; decisioning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FR-03.1 to FR-03.3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DES-23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TC-105, TC-106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1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BR-04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notifications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FR-04.1, FR-04.2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DES-24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TC-107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MIS report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FR-05.1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DES-25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TC-108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1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BR-06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Configurable credit-score risk threshold</w:t>
            </w:r>
          </w:p>
        </w:tc>
        <w:tc>
          <w:tcPr>
            <w:tcW w:type="dxa" w:w="1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FR-02.4</w:t>
            </w:r>
          </w:p>
        </w:tc>
        <w:tc>
          <w:tcPr>
            <w:tcW w:type="dxa" w:w="14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DES-26</w:t>
            </w:r>
          </w:p>
        </w:tc>
        <w:tc>
          <w:tcPr>
            <w:tcW w:type="dxa" w:w="15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TC-109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</w:tbl>
    <w:p>
      <w:pPr>
        <w:pBdr>
          <w:left w:val="single" w:color="D9A400" w:sz="18" w:space="6"/>
        </w:pBd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20"/>
          <w:szCs w:val="20"/>
        </w:rPr>
        <w:t xml:space="preserve">BR-06 / FR-02.4 / TC-109 added on 16-Jul-2026 to close a traceability gap: the FRD had been updated with the configurable risk threshold, but the matrix, design reference, and test case had not yet been linked.</w:t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Legend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Passed — Test executed and requirement verified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 Progress — Development or testing underway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Not Started — Not yet taken up in the current sprint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Requirement Traceability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2026-07-14T09:04:29.329Z</dcterms:created>
  <dcterms:modified xsi:type="dcterms:W3CDTF">2026-07-14T09:04:29.330Z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