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rPr>
          <w:rFonts w:ascii="Calibri" w:cs="Calibri" w:eastAsia="Calibri" w:hAnsi="Calibri"/>
          <w:b/>
          <w:bCs/>
          <w:color w:val="2E5395"/>
          <w:spacing w:val="20"/>
          <w:sz w:val="22"/>
          <w:szCs w:val="22"/>
        </w:rPr>
        <w:t xml:space="preserve">DIGITAL LOAN ORIGINATION SYSTEM</w:t>
      </w:r>
    </w:p>
    <w:p>
      <w:pPr>
        <w:spacing w:after="5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Project Status Report</w:t>
      </w:r>
    </w:p>
    <w:p>
      <w:pPr>
        <w:pBdr>
          <w:bottom w:val="single" w:color="2E5395" w:sz="6" w:space="8"/>
        </w:pBdr>
        <w:spacing w:after="900"/>
        <w:jc w:val="center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Project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Digital Loan Origination System (LOS)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Reporting Period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07-Jul-2026 to 14-Jul-2026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Prepared By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Gourav (Business Analyst)</w:t>
            </w:r>
          </w:p>
        </w:tc>
      </w:tr>
      <w:tr>
        <w:tc>
          <w:tcPr>
            <w:tcW w:type="dxa" w:w="28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Overall Status</w:t>
            </w:r>
          </w:p>
        </w:tc>
        <w:tc>
          <w:tcPr>
            <w:tcW w:type="dxa" w:w="62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On Track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Summary</w:t>
      </w:r>
    </w:p>
    <w:p>
      <w:pPr>
        <w:spacing w:after="160" w:line="276"/>
      </w:pPr>
      <w:r>
        <w:rPr>
          <w:rFonts w:ascii="Calibri" w:cs="Calibri" w:eastAsia="Calibri" w:hAnsi="Calibri"/>
          <w:sz w:val="21"/>
          <w:szCs w:val="21"/>
        </w:rPr>
        <w:t xml:space="preserve">The project remains on track for the Week 12 go-live target. BRD has been signed off and FRD is being updated to include a configurable risk threshold. Credit bureau vendor contracting is the primary item on the critical path.</w:t>
      </w:r>
    </w:p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Milestone Status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290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7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W w:type="dxa" w:w="2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BRD Sign-off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2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FRD Sign-off</w:t>
            </w:r>
          </w:p>
        </w:tc>
        <w:tc>
          <w:tcPr>
            <w:tcW w:type="dxa" w:w="1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3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Bureau API Integration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6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Design &amp; Development Complete</w:t>
            </w:r>
          </w:p>
        </w:tc>
        <w:tc>
          <w:tcPr>
            <w:tcW w:type="dxa" w:w="1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9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UAT</w:t>
            </w:r>
          </w:p>
        </w:tc>
        <w:tc>
          <w:tcPr>
            <w:tcW w:type="dxa" w:w="1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11</w:t>
            </w:r>
          </w:p>
        </w:tc>
        <w:tc>
          <w:tcPr>
            <w:tcW w:type="dxa" w:w="29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36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Go-live</w:t>
            </w:r>
          </w:p>
        </w:tc>
        <w:tc>
          <w:tcPr>
            <w:tcW w:type="dxa" w:w="17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 12</w:t>
            </w:r>
          </w:p>
        </w:tc>
        <w:tc>
          <w:tcPr>
            <w:tcW w:type="dxa" w:w="2900"/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Started</w:t>
            </w:r>
          </w:p>
        </w:tc>
      </w:tr>
    </w:tbl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Completed This Week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BRD v1.0 signed off by Head of Retail Lending and IT Head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Use case document and user stories drafted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Wireframe for the loan application screen shared for feedback</w:t>
      </w:r>
    </w:p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Planned Next Week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Finalize FRD with the configurable risk threshold (FR-02.4)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Expedite credit bureau vendor contract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1"/>
          <w:szCs w:val="21"/>
        </w:rPr>
        <w:t xml:space="preserve">Begin process flow validation with the Loan Officer team</w:t>
      </w:r>
    </w:p>
    <w:p/>
    <w:p>
      <w:pPr>
        <w:pStyle w:val="Heading1"/>
        <w:pBdr>
          <w:bottom w:val="single" w:color="2E5395" w:sz="4" w:space="4"/>
        </w:pBdr>
        <w:spacing w:after="16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5. Risks / Blockers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600"/>
        <w:gridCol w:w="2800"/>
      </w:tblGrid>
      <w:tr>
        <w:trPr>
          <w:tblHeader/>
        </w:trPr>
        <w:tc>
          <w:tcPr>
            <w:tcW w:type="dxa" w:w="3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Risk/Blocker</w:t>
            </w:r>
          </w:p>
        </w:tc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 / Owner</w:t>
            </w:r>
          </w:p>
        </w:tc>
      </w:tr>
      <w:tr>
        <w:tc>
          <w:tcPr>
            <w:tcW w:type="dxa" w:w="3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Credit bureau vendor contract pending sign-off</w:t>
            </w:r>
          </w:p>
        </w:tc>
        <w:tc>
          <w:tcPr>
            <w:tcW w:type="dxa" w:w="2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— may delay Week 6 integration milestone</w:t>
            </w:r>
          </w:p>
        </w:tc>
        <w:tc>
          <w:tcPr>
            <w:tcW w:type="dxa" w:w="2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IT Head to escalate by 21-Jul-2026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0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Digital Loan Origination System</w:t>
    </w:r>
    <w:r>
      <w:rPr>
        <w:rFonts w:ascii="Calibri" w:cs="Calibri" w:eastAsia="Calibri" w:hAnsi="Calibri"/>
        <w:color w:val="595959"/>
        <w:sz w:val="16"/>
        <w:szCs w:val="16"/>
      </w:rPr>
      <w:t xml:space="preserve">	Project Status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2026-07-14T09:04:29.730Z</dcterms:created>
  <dcterms:modified xsi:type="dcterms:W3CDTF">2026-07-14T09:04:29.731Z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