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3864"/>
          <w:sz w:val="32"/>
          <w:szCs w:val="32"/>
        </w:rPr>
        <w:t xml:space="preserve">VShield.ai — Implementation Blueprint Addendum</w:t>
      </w:r>
    </w:p>
    <w:p>
      <w:pPr>
        <w:spacing w:after="300"/>
      </w:pPr>
      <w:r>
        <w:rPr>
          <w:i/>
          <w:iCs/>
          <w:color w:val="666666"/>
          <w:sz w:val="20"/>
          <w:szCs w:val="20"/>
        </w:rPr>
        <w:t xml:space="preserve">Day 2 Update — two technical deviations discovered during environment setup</w:t>
      </w:r>
    </w:p>
    <w:p>
      <w:pPr>
        <w:pStyle w:val="Heading1"/>
        <w:spacing w:after="150" w:before="300"/>
      </w:pPr>
      <w:r>
        <w:t xml:space="preserve">Why This Addendum Exists</w:t>
      </w:r>
    </w:p>
    <w:p>
      <w:pPr>
        <w:spacing w:after="120"/>
      </w:pPr>
      <w:r>
        <w:t xml:space="preserve">Per our standing rule, any design decision that conflicts with the approved PRD or Blueprint must be explained and approved before changing. Two small deviations came up during Day 2 environment setup. Neither changes scope, features, or timeline — both are recorded here so Day 3 onward (and any fresh AI conversation) has the accurate, current configuration.</w:t>
      </w:r>
    </w:p>
    <w:p>
      <w:pPr>
        <w:pStyle w:val="Heading1"/>
        <w:spacing w:after="150" w:before="300"/>
      </w:pPr>
      <w:r>
        <w:t xml:space="preserve">Deviation 1: Java Version</w:t>
      </w:r>
    </w:p>
    <w:p>
      <w:pPr>
        <w:spacing w:after="120"/>
      </w:pPr>
      <w:r>
        <w:t xml:space="preserve">Original Blueprint specified Java 17. The developer's machine has Java 22 installed, and Spring Initializr scaffolded the project accordingly.</w:t>
      </w:r>
    </w:p>
    <w:p>
      <w:pPr>
        <w:spacing w:after="120"/>
      </w:pPr>
      <w:r>
        <w:t xml:space="preserve">Resolution: Proceed with Java 22 throughout local development. No functional impact — Java is backward compatible for this project's needs. Flagged specifically for Day 9 (Deployment): the hosting platform's build configuration must be set to Java 22, not 17, or the build will fail.</w:t>
      </w:r>
    </w:p>
    <w:p>
      <w:pPr>
        <w:pStyle w:val="Heading1"/>
        <w:spacing w:after="150" w:before="300"/>
      </w:pPr>
      <w:r>
        <w:t xml:space="preserve">Deviation 2: H2 Database Mode</w:t>
      </w:r>
    </w:p>
    <w:p>
      <w:pPr>
        <w:spacing w:after="120"/>
      </w:pPr>
      <w:r>
        <w:t xml:space="preserve">Original Blueprint's Day 2 dependency list included H2 Database without specifying in-memory vs. file-based mode. Spring Initializr's default (in-memory, jdbc:h2:mem:...) was used for today's initial run, which wipes all data on every restart.</w:t>
      </w:r>
    </w:p>
    <w:p>
      <w:pPr>
        <w:spacing w:after="120"/>
      </w:pPr>
      <w:r>
        <w:t xml:space="preserve">Resolution: before building the User entity on Day 3, application.properties will be updated to file-based mode (jdbc:h2:file:./data/vshielddb) so signup/login data and analysis history persist across restarts — required for realistic testing of the History Log feature. Full detail in SCHEMA.md, Section 6, generated today.</w:t>
      </w:r>
    </w:p>
    <w:p>
      <w:pPr>
        <w:pStyle w:val="Heading1"/>
        <w:spacing w:after="150" w:before="300"/>
      </w:pPr>
      <w:r>
        <w:t xml:space="preserve">Summary Table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3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32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Blueprint Said</w:t>
            </w:r>
          </w:p>
        </w:tc>
        <w:tc>
          <w:tcPr>
            <w:tcW w:type="dxa" w:w="33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Actual / Updated</w:t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Java version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17</w:t>
            </w:r>
          </w:p>
        </w:tc>
        <w:tc>
          <w:tcPr>
            <w:tcW w:type="dxa" w:w="33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22 (backward compatible; Day 9 deploy config must match)</w:t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H2 mode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Not specified</w:t>
            </w:r>
          </w:p>
        </w:tc>
        <w:tc>
          <w:tcPr>
            <w:tcW w:type="dxa" w:w="33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File-based, applied Day 3 before User entity work</w:t>
            </w:r>
          </w:p>
        </w:tc>
      </w:tr>
    </w:tbl>
    <w:p>
      <w:pPr>
        <w:pStyle w:val="Heading1"/>
        <w:spacing w:after="150" w:before="300"/>
      </w:pPr>
      <w:r>
        <w:t xml:space="preserve">Impact on Remaining Days</w:t>
      </w:r>
    </w:p>
    <w:p>
      <w:pPr>
        <w:spacing w:after="120"/>
      </w:pPr>
      <w:r>
        <w:t xml:space="preserve">None to scope, features, or the Day 2-10 schedule. Day 3's step list should begin with the H2 file-mode config change (5 minutes) before creating the User entity. Day 9's deployment steps should specify Java 22 when configuring the hosting platform's build settings.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2026-07-22T08:11:32.267Z</dcterms:created>
  <dcterms:modified xsi:type="dcterms:W3CDTF">2026-07-22T08:11:32.282Z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