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B5B2" w14:textId="7FBD0AED" w:rsidR="00624D11" w:rsidRPr="00624D11" w:rsidRDefault="00624D11" w:rsidP="00624D11">
      <w:pPr>
        <w:rPr>
          <w:b/>
          <w:bCs/>
        </w:rPr>
      </w:pPr>
      <w:r w:rsidRPr="00624D11">
        <w:rPr>
          <w:b/>
          <w:bCs/>
        </w:rPr>
        <w:t>W</w:t>
      </w:r>
      <w:r w:rsidRPr="00624D11">
        <w:rPr>
          <w:b/>
          <w:bCs/>
        </w:rPr>
        <w:t>hen comparing indexes of multiple countries is it better to use S&amp;P 500 or Dow jones</w:t>
      </w:r>
    </w:p>
    <w:p w14:paraId="41EA0E6B" w14:textId="717B9727" w:rsidR="00624D11" w:rsidRDefault="00624D11" w:rsidP="00624D11">
      <w:r>
        <w:t>When comparing indexes of multiple countries, it is generally more appropriate to use the S&amp;P 500 rather than the Dow Jones Industrial Average (DJIA). Here's why:</w:t>
      </w:r>
    </w:p>
    <w:p w14:paraId="3F021C22" w14:textId="77777777" w:rsidR="00624D11" w:rsidRDefault="00624D11" w:rsidP="00624D11">
      <w:r>
        <w:t>Broad Representation: The S&amp;P 500 is a market-capitalization-weighted index that includes the largest 500 publicly traded companies in the United States. It covers a wide range of industries and sectors, providing a more comprehensive representation of the U.S. stock market. On the other hand, the Dow Jones Industrial Average consists of only 30 large, blue-chip companies, which may not be as representative of the overall U.S. market.</w:t>
      </w:r>
    </w:p>
    <w:p w14:paraId="03E4E5FB" w14:textId="77777777" w:rsidR="00624D11" w:rsidRDefault="00624D11" w:rsidP="00624D11">
      <w:r>
        <w:t>Diversification: The S&amp;P 500's broader composition offers greater diversification compared to the DJIA. With 500 companies from various sectors, the S&amp;P 500 provides a more balanced view of the U.S. economy. This diversification helps reduce the influence of individual stocks on the overall performance of the index.</w:t>
      </w:r>
    </w:p>
    <w:p w14:paraId="593E9746" w14:textId="77777777" w:rsidR="00624D11" w:rsidRDefault="00624D11" w:rsidP="00624D11">
      <w:r>
        <w:t>Industry Comparison: If you are comparing indexes across multiple countries, the S&amp;P 500 can serve as a benchmark for global equity performance due to its wide coverage and influence. Many international investors and fund managers use the S&amp;P 500 as a reference point when evaluating the performance of their investments in relation to the U.S. market.</w:t>
      </w:r>
    </w:p>
    <w:p w14:paraId="5D9C2A63" w14:textId="77777777" w:rsidR="00624D11" w:rsidRDefault="00624D11" w:rsidP="00624D11">
      <w:r>
        <w:t>Availability of Data and Analysis: The S&amp;P 500 is widely tracked and extensively researched, which means you can find a wealth of information, historical data, and analysis about the index. This availability of data makes it easier to compare and analyze the S&amp;P 500 alongside other global indexes.</w:t>
      </w:r>
    </w:p>
    <w:p w14:paraId="72393A37" w14:textId="338ADE36" w:rsidR="00217C21" w:rsidRDefault="00624D11" w:rsidP="00624D11">
      <w:r>
        <w:t>While the DJIA is one of the oldest and most well-known indexes in the United States, it may not provide the same level of representation and diversification as the S&amp;P 500. Therefore, when comparing indexes of multiple countries, the S&amp;P 500 is generally considered a more suitable choice.</w:t>
      </w:r>
    </w:p>
    <w:p w14:paraId="6E3FBAE2" w14:textId="77777777" w:rsidR="00650544" w:rsidRDefault="00650544" w:rsidP="00650544">
      <w:r>
        <w:t xml:space="preserve">In the context of comparing India's stock market to other countries, the </w:t>
      </w:r>
      <w:proofErr w:type="gramStart"/>
      <w:r>
        <w:t>most commonly used</w:t>
      </w:r>
      <w:proofErr w:type="gramEnd"/>
      <w:r>
        <w:t xml:space="preserve"> and recognized index for India is the S&amp;P BSE Sensex. The Sensex is a benchmark index that represents the performance of 30 well-established and financially sound companies listed on the Bombay Stock Exchange (BSE).</w:t>
      </w:r>
    </w:p>
    <w:p w14:paraId="1DF15389" w14:textId="77777777" w:rsidR="00650544" w:rsidRDefault="00650544" w:rsidP="00650544"/>
    <w:p w14:paraId="4E1E63BE" w14:textId="77777777" w:rsidR="00650544" w:rsidRDefault="00650544" w:rsidP="00650544">
      <w:r w:rsidRPr="00650544">
        <w:rPr>
          <w:b/>
          <w:bCs/>
        </w:rPr>
        <w:t>Here are a few reasons why the S&amp;P BSE Sensex is often used for comparing India's stock market to other countries</w:t>
      </w:r>
      <w:r>
        <w:t>:</w:t>
      </w:r>
    </w:p>
    <w:p w14:paraId="3FB97927" w14:textId="77777777" w:rsidR="00650544" w:rsidRDefault="00650544" w:rsidP="00650544">
      <w:r>
        <w:t>Longevity and History: The Sensex has a long history dating back to 1986, making it one of the oldest and most widely followed stock market indexes in India. Its longevity and historical data provide a valuable reference point for understanding the performance of India's stock market over time.</w:t>
      </w:r>
    </w:p>
    <w:p w14:paraId="749D9061" w14:textId="77777777" w:rsidR="00650544" w:rsidRDefault="00650544" w:rsidP="00650544">
      <w:r>
        <w:t>Broad Representation: The Sensex consists of 30 large and well-established companies across various sectors, representing different segments of the Indian economy. These companies are selected based on their market capitalization, liquidity, and other factors. The index's composition aims to provide a broad representation of the Indian stock market.</w:t>
      </w:r>
    </w:p>
    <w:p w14:paraId="5C4423C3" w14:textId="77777777" w:rsidR="00650544" w:rsidRDefault="00650544" w:rsidP="00650544">
      <w:r>
        <w:t>Market Recognition: The S&amp;P BSE Sensex is widely recognized both domestically and internationally as a key benchmark for India's stock market. It is frequently referenced in financial news, analysis, and discussions related to Indian equities. Its recognition enhances its relevance for comparing India's stock market performance to other countries.</w:t>
      </w:r>
    </w:p>
    <w:p w14:paraId="18E156CD" w14:textId="77777777" w:rsidR="00650544" w:rsidRDefault="00650544" w:rsidP="00650544">
      <w:proofErr w:type="gramStart"/>
      <w:r>
        <w:lastRenderedPageBreak/>
        <w:t>That being said, it's</w:t>
      </w:r>
      <w:proofErr w:type="gramEnd"/>
      <w:r>
        <w:t xml:space="preserve"> worth noting that India has another major stock market index called the NIFTY 50, which is managed by the National Stock Exchange (NSE). The NIFTY 50 represents the performance of the 50 largest and most liquid companies listed on the NSE. While the Sensex and NIFTY 50 often move in tandem and provide similar insights into India's stock market, the Sensex is more commonly used for historical comparisons and has a longer track record.</w:t>
      </w:r>
    </w:p>
    <w:p w14:paraId="0307D3BD" w14:textId="7E76DC16" w:rsidR="00624D11" w:rsidRDefault="00650544" w:rsidP="00650544">
      <w:r>
        <w:t>In conclusion, if you're looking to compare India's stock market performance to other countries, the S&amp;P BSE Sensex is generally considered the better index to use due to its long history, broad representation, and market recognition.</w:t>
      </w:r>
    </w:p>
    <w:p w14:paraId="34381BF8" w14:textId="77777777" w:rsidR="00650544" w:rsidRPr="00650544" w:rsidRDefault="00650544" w:rsidP="00650544">
      <w:pPr>
        <w:rPr>
          <w:b/>
          <w:bCs/>
        </w:rPr>
      </w:pPr>
      <w:r w:rsidRPr="00650544">
        <w:rPr>
          <w:b/>
          <w:bCs/>
        </w:rPr>
        <w:t xml:space="preserve">which is the better index of </w:t>
      </w:r>
      <w:proofErr w:type="spellStart"/>
      <w:r w:rsidRPr="00650544">
        <w:rPr>
          <w:b/>
          <w:bCs/>
        </w:rPr>
        <w:t>japan</w:t>
      </w:r>
      <w:proofErr w:type="spellEnd"/>
      <w:r w:rsidRPr="00650544">
        <w:rPr>
          <w:b/>
          <w:bCs/>
        </w:rPr>
        <w:t xml:space="preserve"> for comparing to other </w:t>
      </w:r>
      <w:proofErr w:type="gramStart"/>
      <w:r w:rsidRPr="00650544">
        <w:rPr>
          <w:b/>
          <w:bCs/>
        </w:rPr>
        <w:t>countries</w:t>
      </w:r>
      <w:proofErr w:type="gramEnd"/>
    </w:p>
    <w:p w14:paraId="436A9A1F" w14:textId="77777777" w:rsidR="00650544" w:rsidRDefault="00650544" w:rsidP="00650544">
      <w:r>
        <w:t>The primary index used to represent the Japanese stock market is the NIKKEI 225. It is one of the most widely followed and recognized benchmarks for Japanese equities.</w:t>
      </w:r>
    </w:p>
    <w:p w14:paraId="131AB391" w14:textId="77777777" w:rsidR="00650544" w:rsidRDefault="00650544" w:rsidP="00650544">
      <w:r>
        <w:t>When comparing the Japanese market to other countries, the NIKKEI 225 is generally considered a suitable index for this purpose. It includes 225 large and liquid Japanese companies across various industries, providing a broad representation of the Japanese stock market.</w:t>
      </w:r>
    </w:p>
    <w:p w14:paraId="576A9ACD" w14:textId="77777777" w:rsidR="00650544" w:rsidRDefault="00650544" w:rsidP="00650544">
      <w:r>
        <w:t xml:space="preserve">However, it's worth noting that the NIKKEI 225 has a specific focus on large-cap companies and is price-weighted, which means that higher-priced stocks have a greater influence on the index's movements. This may result in a different representation compared to other indexes, such as the </w:t>
      </w:r>
      <w:r w:rsidRPr="00650544">
        <w:rPr>
          <w:b/>
          <w:bCs/>
        </w:rPr>
        <w:t>market-cap-weighted</w:t>
      </w:r>
      <w:r>
        <w:t xml:space="preserve"> indexes like the S&amp;P 500 or NASDAQ.</w:t>
      </w:r>
    </w:p>
    <w:p w14:paraId="31D4ED82" w14:textId="77777777" w:rsidR="00650544" w:rsidRDefault="00650544" w:rsidP="00650544">
      <w:r>
        <w:t>If you are looking for a more comprehensive representation of the Japanese stock market that includes a broader range of companies, you may also consider the TOPIX index. The TOPIX is a market-cap-weighted index that includes all common stocks listed on the Tokyo Stock Exchange's first section, providing a broader and more diversified view of the Japanese market. It covers a larger number of companies, including mid-cap and small-cap stocks, and can be used as an alternative or complementary index to the NIKKEI 225.</w:t>
      </w:r>
    </w:p>
    <w:p w14:paraId="0D2BAF4A" w14:textId="68A772F1" w:rsidR="00650544" w:rsidRDefault="00650544" w:rsidP="00650544">
      <w:r>
        <w:t>Ultimately, the choice between the NIKKEI 225 and TOPIX depends on the specific requirements and objectives of your comparison. The NIKKEI 225 is more focused on larger companies, while the TOPIX offers a broader representation of the entire Japanese stock market.</w:t>
      </w:r>
    </w:p>
    <w:p w14:paraId="557B0AF5" w14:textId="77777777" w:rsidR="00650544" w:rsidRDefault="00650544" w:rsidP="00650544"/>
    <w:sectPr w:rsidR="00650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11"/>
    <w:rsid w:val="00217C21"/>
    <w:rsid w:val="00624D11"/>
    <w:rsid w:val="00650544"/>
    <w:rsid w:val="00E96599"/>
    <w:rsid w:val="00EF0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5465"/>
  <w15:chartTrackingRefBased/>
  <w15:docId w15:val="{C3BF5485-72DB-4DAC-9170-4CA4C4E0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720767">
      <w:bodyDiv w:val="1"/>
      <w:marLeft w:val="0"/>
      <w:marRight w:val="0"/>
      <w:marTop w:val="0"/>
      <w:marBottom w:val="0"/>
      <w:divBdr>
        <w:top w:val="none" w:sz="0" w:space="0" w:color="auto"/>
        <w:left w:val="none" w:sz="0" w:space="0" w:color="auto"/>
        <w:bottom w:val="none" w:sz="0" w:space="0" w:color="auto"/>
        <w:right w:val="none" w:sz="0" w:space="0" w:color="auto"/>
      </w:divBdr>
      <w:divsChild>
        <w:div w:id="1415516911">
          <w:marLeft w:val="0"/>
          <w:marRight w:val="0"/>
          <w:marTop w:val="0"/>
          <w:marBottom w:val="0"/>
          <w:divBdr>
            <w:top w:val="single" w:sz="2" w:space="0" w:color="auto"/>
            <w:left w:val="single" w:sz="2" w:space="0" w:color="auto"/>
            <w:bottom w:val="single" w:sz="6" w:space="0" w:color="auto"/>
            <w:right w:val="single" w:sz="2" w:space="0" w:color="auto"/>
          </w:divBdr>
          <w:divsChild>
            <w:div w:id="4203021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383657">
                  <w:marLeft w:val="0"/>
                  <w:marRight w:val="0"/>
                  <w:marTop w:val="0"/>
                  <w:marBottom w:val="0"/>
                  <w:divBdr>
                    <w:top w:val="single" w:sz="2" w:space="0" w:color="D9D9E3"/>
                    <w:left w:val="single" w:sz="2" w:space="0" w:color="D9D9E3"/>
                    <w:bottom w:val="single" w:sz="2" w:space="0" w:color="D9D9E3"/>
                    <w:right w:val="single" w:sz="2" w:space="0" w:color="D9D9E3"/>
                  </w:divBdr>
                  <w:divsChild>
                    <w:div w:id="928343701">
                      <w:marLeft w:val="0"/>
                      <w:marRight w:val="0"/>
                      <w:marTop w:val="0"/>
                      <w:marBottom w:val="0"/>
                      <w:divBdr>
                        <w:top w:val="single" w:sz="2" w:space="0" w:color="D9D9E3"/>
                        <w:left w:val="single" w:sz="2" w:space="0" w:color="D9D9E3"/>
                        <w:bottom w:val="single" w:sz="2" w:space="0" w:color="D9D9E3"/>
                        <w:right w:val="single" w:sz="2" w:space="0" w:color="D9D9E3"/>
                      </w:divBdr>
                      <w:divsChild>
                        <w:div w:id="1865972232">
                          <w:marLeft w:val="0"/>
                          <w:marRight w:val="0"/>
                          <w:marTop w:val="0"/>
                          <w:marBottom w:val="0"/>
                          <w:divBdr>
                            <w:top w:val="single" w:sz="2" w:space="0" w:color="D9D9E3"/>
                            <w:left w:val="single" w:sz="2" w:space="0" w:color="D9D9E3"/>
                            <w:bottom w:val="single" w:sz="2" w:space="0" w:color="D9D9E3"/>
                            <w:right w:val="single" w:sz="2" w:space="0" w:color="D9D9E3"/>
                          </w:divBdr>
                          <w:divsChild>
                            <w:div w:id="1958488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4264469">
          <w:marLeft w:val="0"/>
          <w:marRight w:val="0"/>
          <w:marTop w:val="0"/>
          <w:marBottom w:val="0"/>
          <w:divBdr>
            <w:top w:val="single" w:sz="2" w:space="0" w:color="auto"/>
            <w:left w:val="single" w:sz="2" w:space="0" w:color="auto"/>
            <w:bottom w:val="single" w:sz="6" w:space="0" w:color="auto"/>
            <w:right w:val="single" w:sz="2" w:space="0" w:color="auto"/>
          </w:divBdr>
          <w:divsChild>
            <w:div w:id="440877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944602">
                  <w:marLeft w:val="0"/>
                  <w:marRight w:val="0"/>
                  <w:marTop w:val="0"/>
                  <w:marBottom w:val="0"/>
                  <w:divBdr>
                    <w:top w:val="single" w:sz="2" w:space="0" w:color="D9D9E3"/>
                    <w:left w:val="single" w:sz="2" w:space="0" w:color="D9D9E3"/>
                    <w:bottom w:val="single" w:sz="2" w:space="0" w:color="D9D9E3"/>
                    <w:right w:val="single" w:sz="2" w:space="0" w:color="D9D9E3"/>
                  </w:divBdr>
                  <w:divsChild>
                    <w:div w:id="19012610">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680163">
                  <w:marLeft w:val="0"/>
                  <w:marRight w:val="0"/>
                  <w:marTop w:val="0"/>
                  <w:marBottom w:val="0"/>
                  <w:divBdr>
                    <w:top w:val="single" w:sz="2" w:space="0" w:color="D9D9E3"/>
                    <w:left w:val="single" w:sz="2" w:space="0" w:color="D9D9E3"/>
                    <w:bottom w:val="single" w:sz="2" w:space="0" w:color="D9D9E3"/>
                    <w:right w:val="single" w:sz="2" w:space="0" w:color="D9D9E3"/>
                  </w:divBdr>
                  <w:divsChild>
                    <w:div w:id="1812943017">
                      <w:marLeft w:val="0"/>
                      <w:marRight w:val="0"/>
                      <w:marTop w:val="0"/>
                      <w:marBottom w:val="0"/>
                      <w:divBdr>
                        <w:top w:val="single" w:sz="2" w:space="0" w:color="D9D9E3"/>
                        <w:left w:val="single" w:sz="2" w:space="0" w:color="D9D9E3"/>
                        <w:bottom w:val="single" w:sz="2" w:space="0" w:color="D9D9E3"/>
                        <w:right w:val="single" w:sz="2" w:space="0" w:color="D9D9E3"/>
                      </w:divBdr>
                      <w:divsChild>
                        <w:div w:id="473564176">
                          <w:marLeft w:val="0"/>
                          <w:marRight w:val="0"/>
                          <w:marTop w:val="0"/>
                          <w:marBottom w:val="0"/>
                          <w:divBdr>
                            <w:top w:val="single" w:sz="2" w:space="0" w:color="D9D9E3"/>
                            <w:left w:val="single" w:sz="2" w:space="0" w:color="D9D9E3"/>
                            <w:bottom w:val="single" w:sz="2" w:space="0" w:color="D9D9E3"/>
                            <w:right w:val="single" w:sz="2" w:space="0" w:color="D9D9E3"/>
                          </w:divBdr>
                          <w:divsChild>
                            <w:div w:id="50589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1185076">
      <w:bodyDiv w:val="1"/>
      <w:marLeft w:val="0"/>
      <w:marRight w:val="0"/>
      <w:marTop w:val="0"/>
      <w:marBottom w:val="0"/>
      <w:divBdr>
        <w:top w:val="none" w:sz="0" w:space="0" w:color="auto"/>
        <w:left w:val="none" w:sz="0" w:space="0" w:color="auto"/>
        <w:bottom w:val="none" w:sz="0" w:space="0" w:color="auto"/>
        <w:right w:val="none" w:sz="0" w:space="0" w:color="auto"/>
      </w:divBdr>
    </w:div>
    <w:div w:id="20630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Goureesh Yarlagadda</dc:creator>
  <cp:keywords/>
  <dc:description/>
  <cp:lastModifiedBy>Goureesh Yarlagadda</cp:lastModifiedBy>
  <cp:revision>1</cp:revision>
  <dcterms:created xsi:type="dcterms:W3CDTF">2023-07-13T03:26:00Z</dcterms:created>
  <dcterms:modified xsi:type="dcterms:W3CDTF">2023-07-13T05:30:00Z</dcterms:modified>
</cp:coreProperties>
</file>