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48026" w14:textId="77777777" w:rsidR="00CF6638" w:rsidRDefault="00CF6638" w:rsidP="00CF6638">
      <w:pPr>
        <w:rPr>
          <w:b/>
          <w:bCs/>
        </w:rPr>
      </w:pPr>
      <w:r w:rsidRPr="00CF6638">
        <w:rPr>
          <w:b/>
          <w:bCs/>
        </w:rPr>
        <w:t>Financial Dashboard – Logic, Insights &amp; Assumptions</w:t>
      </w:r>
    </w:p>
    <w:p w14:paraId="17F9546E" w14:textId="77777777" w:rsidR="00CF6638" w:rsidRPr="00CF6638" w:rsidRDefault="00CF6638" w:rsidP="00CF6638">
      <w:pPr>
        <w:rPr>
          <w:b/>
          <w:bCs/>
        </w:rPr>
      </w:pPr>
    </w:p>
    <w:p w14:paraId="59B50F04" w14:textId="493C7832" w:rsidR="00CF6638" w:rsidRPr="00CF6638" w:rsidRDefault="00CF6638" w:rsidP="00CF6638">
      <w:pPr>
        <w:pStyle w:val="ListParagraph"/>
        <w:numPr>
          <w:ilvl w:val="0"/>
          <w:numId w:val="4"/>
        </w:numPr>
        <w:rPr>
          <w:b/>
          <w:bCs/>
        </w:rPr>
      </w:pPr>
      <w:r w:rsidRPr="00CF6638">
        <w:rPr>
          <w:b/>
          <w:bCs/>
        </w:rPr>
        <w:t>Analytical Logic</w:t>
      </w:r>
    </w:p>
    <w:p w14:paraId="5DE5856C" w14:textId="77777777" w:rsidR="00CF6638" w:rsidRPr="00CF6638" w:rsidRDefault="00CF6638" w:rsidP="00CF6638">
      <w:pPr>
        <w:pStyle w:val="ListParagraph"/>
        <w:ind w:left="3840"/>
        <w:rPr>
          <w:b/>
          <w:bCs/>
        </w:rPr>
      </w:pPr>
    </w:p>
    <w:p w14:paraId="120DE4CC" w14:textId="77777777" w:rsidR="00CF6638" w:rsidRPr="00CF6638" w:rsidRDefault="00CF6638" w:rsidP="00CF6638">
      <w:r w:rsidRPr="00CF6638">
        <w:t>The dashboard is structured to provide a comprehensive analysis of financial performance by combining profitability, cash flow, and operational insights.</w:t>
      </w:r>
    </w:p>
    <w:p w14:paraId="3A0F1F81" w14:textId="77777777" w:rsidR="00CF6638" w:rsidRPr="00CF6638" w:rsidRDefault="00CF6638" w:rsidP="00CF6638">
      <w:pPr>
        <w:numPr>
          <w:ilvl w:val="0"/>
          <w:numId w:val="1"/>
        </w:numPr>
      </w:pPr>
      <w:r w:rsidRPr="00CF6638">
        <w:rPr>
          <w:b/>
          <w:bCs/>
        </w:rPr>
        <w:t>KPI Layer:</w:t>
      </w:r>
      <w:r w:rsidRPr="00CF6638">
        <w:br/>
        <w:t>High-level metrics (Revenue, Gross Margin %, EBITDA %, Net Cash) provide an immediate overview of business performance.</w:t>
      </w:r>
    </w:p>
    <w:p w14:paraId="713876F2" w14:textId="77777777" w:rsidR="00CF6638" w:rsidRPr="00CF6638" w:rsidRDefault="00CF6638" w:rsidP="00CF6638">
      <w:pPr>
        <w:numPr>
          <w:ilvl w:val="0"/>
          <w:numId w:val="1"/>
        </w:numPr>
      </w:pPr>
      <w:r w:rsidRPr="00CF6638">
        <w:rPr>
          <w:b/>
          <w:bCs/>
        </w:rPr>
        <w:t>Trend Analysis:</w:t>
      </w:r>
      <w:r w:rsidRPr="00CF6638">
        <w:br/>
        <w:t xml:space="preserve">Revenue &amp; EBITDA trends are </w:t>
      </w:r>
      <w:proofErr w:type="spellStart"/>
      <w:r w:rsidRPr="00CF6638">
        <w:t>analyzed</w:t>
      </w:r>
      <w:proofErr w:type="spellEnd"/>
      <w:r w:rsidRPr="00CF6638">
        <w:t xml:space="preserve"> over time to assess growth and profitability consistency.</w:t>
      </w:r>
    </w:p>
    <w:p w14:paraId="1E380F03" w14:textId="77777777" w:rsidR="00CF6638" w:rsidRPr="00CF6638" w:rsidRDefault="00CF6638" w:rsidP="00CF6638">
      <w:pPr>
        <w:numPr>
          <w:ilvl w:val="0"/>
          <w:numId w:val="1"/>
        </w:numPr>
      </w:pPr>
      <w:r w:rsidRPr="00CF6638">
        <w:rPr>
          <w:b/>
          <w:bCs/>
        </w:rPr>
        <w:t>Profitability Analysis:</w:t>
      </w:r>
    </w:p>
    <w:p w14:paraId="67A4AB8C" w14:textId="77777777" w:rsidR="00CF6638" w:rsidRPr="00CF6638" w:rsidRDefault="00CF6638" w:rsidP="00CF6638">
      <w:pPr>
        <w:numPr>
          <w:ilvl w:val="1"/>
          <w:numId w:val="1"/>
        </w:numPr>
      </w:pPr>
      <w:r w:rsidRPr="00CF6638">
        <w:t>Region-wise EBITDA % identifies high and low performing regions</w:t>
      </w:r>
    </w:p>
    <w:p w14:paraId="3356024F" w14:textId="77777777" w:rsidR="00CF6638" w:rsidRPr="00CF6638" w:rsidRDefault="00CF6638" w:rsidP="00CF6638">
      <w:pPr>
        <w:numPr>
          <w:ilvl w:val="1"/>
          <w:numId w:val="1"/>
        </w:numPr>
      </w:pPr>
      <w:r w:rsidRPr="00CF6638">
        <w:t>Product-level profitability highlights margin differences across offerings</w:t>
      </w:r>
    </w:p>
    <w:p w14:paraId="05A3727C" w14:textId="77777777" w:rsidR="00CF6638" w:rsidRPr="00CF6638" w:rsidRDefault="00CF6638" w:rsidP="00CF6638">
      <w:pPr>
        <w:numPr>
          <w:ilvl w:val="0"/>
          <w:numId w:val="1"/>
        </w:numPr>
      </w:pPr>
      <w:r w:rsidRPr="00CF6638">
        <w:rPr>
          <w:b/>
          <w:bCs/>
        </w:rPr>
        <w:t>Performance vs Budget:</w:t>
      </w:r>
      <w:r w:rsidRPr="00CF6638">
        <w:br/>
        <w:t>Budget vs Actual comparison is used to evaluate whether the business meets its financial targets.</w:t>
      </w:r>
    </w:p>
    <w:p w14:paraId="6A6BB418" w14:textId="77777777" w:rsidR="00CF6638" w:rsidRPr="00CF6638" w:rsidRDefault="00CF6638" w:rsidP="00CF6638">
      <w:pPr>
        <w:numPr>
          <w:ilvl w:val="0"/>
          <w:numId w:val="1"/>
        </w:numPr>
      </w:pPr>
      <w:r w:rsidRPr="00CF6638">
        <w:rPr>
          <w:b/>
          <w:bCs/>
        </w:rPr>
        <w:t>Cash Flow Logic:</w:t>
      </w:r>
      <w:r w:rsidRPr="00CF6638">
        <w:br/>
        <w:t>Cash flow waterfall visual explains how inflows and outflows contribute to net cash position.</w:t>
      </w:r>
    </w:p>
    <w:p w14:paraId="40E8EDA3" w14:textId="77777777" w:rsidR="00CF6638" w:rsidRPr="00CF6638" w:rsidRDefault="00CF6638" w:rsidP="00CF6638">
      <w:pPr>
        <w:numPr>
          <w:ilvl w:val="0"/>
          <w:numId w:val="1"/>
        </w:numPr>
      </w:pPr>
      <w:r w:rsidRPr="00CF6638">
        <w:rPr>
          <w:b/>
          <w:bCs/>
        </w:rPr>
        <w:t>Receivables Analysis:</w:t>
      </w:r>
      <w:r w:rsidRPr="00CF6638">
        <w:br/>
        <w:t>Aging buckets (0–30, 31–60, etc.) are used to identify delays in collections and potential liquidity risks.</w:t>
      </w:r>
    </w:p>
    <w:p w14:paraId="42F155CA" w14:textId="77777777" w:rsidR="00CF6638" w:rsidRPr="00CF6638" w:rsidRDefault="00CF6638" w:rsidP="00CF6638">
      <w:r w:rsidRPr="00CF6638">
        <w:pict w14:anchorId="1925022C">
          <v:rect id="_x0000_i1043" style="width:0;height:1.5pt" o:hralign="center" o:hrstd="t" o:hr="t" fillcolor="#a0a0a0" stroked="f"/>
        </w:pict>
      </w:r>
    </w:p>
    <w:p w14:paraId="3F74FC7A" w14:textId="079BC68F" w:rsidR="00CF6638" w:rsidRPr="00CF6638" w:rsidRDefault="00CF6638" w:rsidP="00CF6638">
      <w:pPr>
        <w:pStyle w:val="ListParagraph"/>
        <w:numPr>
          <w:ilvl w:val="0"/>
          <w:numId w:val="4"/>
        </w:numPr>
        <w:rPr>
          <w:b/>
          <w:bCs/>
        </w:rPr>
      </w:pPr>
      <w:r w:rsidRPr="00CF6638">
        <w:rPr>
          <w:b/>
          <w:bCs/>
        </w:rPr>
        <w:t>Key Insights</w:t>
      </w:r>
    </w:p>
    <w:p w14:paraId="658A5996" w14:textId="77777777" w:rsidR="00CF6638" w:rsidRPr="00CF6638" w:rsidRDefault="00CF6638" w:rsidP="00CF6638">
      <w:pPr>
        <w:pStyle w:val="ListParagraph"/>
        <w:ind w:left="3840"/>
        <w:rPr>
          <w:b/>
          <w:bCs/>
        </w:rPr>
      </w:pPr>
    </w:p>
    <w:p w14:paraId="0606A2D9" w14:textId="77777777" w:rsidR="00CF6638" w:rsidRPr="00CF6638" w:rsidRDefault="00CF6638" w:rsidP="00CF6638">
      <w:pPr>
        <w:numPr>
          <w:ilvl w:val="0"/>
          <w:numId w:val="2"/>
        </w:numPr>
      </w:pPr>
      <w:r w:rsidRPr="00CF6638">
        <w:t xml:space="preserve">The company generated </w:t>
      </w:r>
      <w:r w:rsidRPr="00CF6638">
        <w:rPr>
          <w:b/>
          <w:bCs/>
        </w:rPr>
        <w:t>~2M in revenue</w:t>
      </w:r>
      <w:r w:rsidRPr="00CF6638">
        <w:t xml:space="preserve"> with an </w:t>
      </w:r>
      <w:r w:rsidRPr="00CF6638">
        <w:rPr>
          <w:b/>
          <w:bCs/>
        </w:rPr>
        <w:t>EBITDA margin of ~26%</w:t>
      </w:r>
      <w:r w:rsidRPr="00CF6638">
        <w:t>, indicating moderate profitability.</w:t>
      </w:r>
    </w:p>
    <w:p w14:paraId="47A22018" w14:textId="77777777" w:rsidR="00CF6638" w:rsidRPr="00CF6638" w:rsidRDefault="00CF6638" w:rsidP="00CF6638">
      <w:pPr>
        <w:numPr>
          <w:ilvl w:val="0"/>
          <w:numId w:val="2"/>
        </w:numPr>
      </w:pPr>
      <w:r w:rsidRPr="00CF6638">
        <w:rPr>
          <w:b/>
          <w:bCs/>
        </w:rPr>
        <w:t>North region</w:t>
      </w:r>
      <w:r w:rsidRPr="00CF6638">
        <w:t xml:space="preserve"> outperforms others in profitability, while South and East regions show lower margins.</w:t>
      </w:r>
    </w:p>
    <w:p w14:paraId="31B61A94" w14:textId="77777777" w:rsidR="00CF6638" w:rsidRPr="00CF6638" w:rsidRDefault="00CF6638" w:rsidP="00CF6638">
      <w:pPr>
        <w:numPr>
          <w:ilvl w:val="0"/>
          <w:numId w:val="2"/>
        </w:numPr>
      </w:pPr>
      <w:r w:rsidRPr="00CF6638">
        <w:rPr>
          <w:b/>
          <w:bCs/>
        </w:rPr>
        <w:t>Product C and Service X</w:t>
      </w:r>
      <w:r w:rsidRPr="00CF6638">
        <w:t xml:space="preserve"> are top contributors to both revenue and profitability.</w:t>
      </w:r>
    </w:p>
    <w:p w14:paraId="32265BC9" w14:textId="77777777" w:rsidR="00CF6638" w:rsidRPr="00CF6638" w:rsidRDefault="00CF6638" w:rsidP="00CF6638">
      <w:pPr>
        <w:numPr>
          <w:ilvl w:val="0"/>
          <w:numId w:val="2"/>
        </w:numPr>
      </w:pPr>
      <w:r w:rsidRPr="00CF6638">
        <w:t xml:space="preserve">Budget vs Actual analysis indicates </w:t>
      </w:r>
      <w:r w:rsidRPr="00CF6638">
        <w:rPr>
          <w:b/>
          <w:bCs/>
        </w:rPr>
        <w:t>periodic underperformance</w:t>
      </w:r>
      <w:r w:rsidRPr="00CF6638">
        <w:t>, highlighting planning or execution gaps.</w:t>
      </w:r>
    </w:p>
    <w:p w14:paraId="049BF475" w14:textId="77777777" w:rsidR="00CF6638" w:rsidRPr="00CF6638" w:rsidRDefault="00CF6638" w:rsidP="00CF6638">
      <w:pPr>
        <w:numPr>
          <w:ilvl w:val="0"/>
          <w:numId w:val="2"/>
        </w:numPr>
      </w:pPr>
      <w:r w:rsidRPr="00CF6638">
        <w:t>Net Cash (~39K) is positive, but fluctuations in cash flow suggest the need for improved liquidity management.</w:t>
      </w:r>
    </w:p>
    <w:p w14:paraId="6DFDD616" w14:textId="77777777" w:rsidR="00CF6638" w:rsidRPr="00CF6638" w:rsidRDefault="00CF6638" w:rsidP="00CF6638">
      <w:pPr>
        <w:numPr>
          <w:ilvl w:val="0"/>
          <w:numId w:val="2"/>
        </w:numPr>
      </w:pPr>
      <w:r w:rsidRPr="00CF6638">
        <w:t xml:space="preserve">A significant portion of receivables lies in the </w:t>
      </w:r>
      <w:r w:rsidRPr="00CF6638">
        <w:rPr>
          <w:b/>
          <w:bCs/>
        </w:rPr>
        <w:t>31–</w:t>
      </w:r>
      <w:proofErr w:type="gramStart"/>
      <w:r w:rsidRPr="00CF6638">
        <w:rPr>
          <w:b/>
          <w:bCs/>
        </w:rPr>
        <w:t>60 day</w:t>
      </w:r>
      <w:proofErr w:type="gramEnd"/>
      <w:r w:rsidRPr="00CF6638">
        <w:rPr>
          <w:b/>
          <w:bCs/>
        </w:rPr>
        <w:t xml:space="preserve"> bucket</w:t>
      </w:r>
      <w:r w:rsidRPr="00CF6638">
        <w:t>, indicating slower collections.</w:t>
      </w:r>
    </w:p>
    <w:p w14:paraId="3E0B02ED" w14:textId="77777777" w:rsidR="00CF6638" w:rsidRPr="00CF6638" w:rsidRDefault="00CF6638" w:rsidP="00CF6638">
      <w:r w:rsidRPr="00CF6638">
        <w:pict w14:anchorId="3BD10875">
          <v:rect id="_x0000_i1044" style="width:0;height:1.5pt" o:hralign="center" o:hrstd="t" o:hr="t" fillcolor="#a0a0a0" stroked="f"/>
        </w:pict>
      </w:r>
    </w:p>
    <w:p w14:paraId="477C1E88" w14:textId="06C212CA" w:rsidR="00CF6638" w:rsidRPr="00CF6638" w:rsidRDefault="00CF6638" w:rsidP="00CF6638">
      <w:pPr>
        <w:pStyle w:val="ListParagraph"/>
        <w:numPr>
          <w:ilvl w:val="0"/>
          <w:numId w:val="4"/>
        </w:numPr>
        <w:rPr>
          <w:b/>
          <w:bCs/>
        </w:rPr>
      </w:pPr>
      <w:r w:rsidRPr="00CF6638">
        <w:rPr>
          <w:b/>
          <w:bCs/>
        </w:rPr>
        <w:lastRenderedPageBreak/>
        <w:t>Assumptions</w:t>
      </w:r>
    </w:p>
    <w:p w14:paraId="1594C123" w14:textId="77777777" w:rsidR="00CF6638" w:rsidRPr="00CF6638" w:rsidRDefault="00CF6638" w:rsidP="00CF6638">
      <w:pPr>
        <w:pStyle w:val="ListParagraph"/>
        <w:ind w:left="3840"/>
        <w:rPr>
          <w:b/>
          <w:bCs/>
        </w:rPr>
      </w:pPr>
    </w:p>
    <w:p w14:paraId="7FAC187A" w14:textId="77777777" w:rsidR="00CF6638" w:rsidRPr="00CF6638" w:rsidRDefault="00CF6638" w:rsidP="00CF6638">
      <w:pPr>
        <w:numPr>
          <w:ilvl w:val="0"/>
          <w:numId w:val="3"/>
        </w:numPr>
      </w:pPr>
      <w:r w:rsidRPr="00CF6638">
        <w:t>Missing values were treated as zero for consistency</w:t>
      </w:r>
    </w:p>
    <w:p w14:paraId="0833EEB2" w14:textId="77777777" w:rsidR="00CF6638" w:rsidRPr="00CF6638" w:rsidRDefault="00CF6638" w:rsidP="00CF6638">
      <w:pPr>
        <w:numPr>
          <w:ilvl w:val="0"/>
          <w:numId w:val="3"/>
        </w:numPr>
      </w:pPr>
      <w:r w:rsidRPr="00CF6638">
        <w:t>Gross Profit and EBITDA were recalculated using standard formulas</w:t>
      </w:r>
    </w:p>
    <w:p w14:paraId="4B58C535" w14:textId="77777777" w:rsidR="00CF6638" w:rsidRPr="00CF6638" w:rsidRDefault="00CF6638" w:rsidP="00CF6638">
      <w:pPr>
        <w:numPr>
          <w:ilvl w:val="0"/>
          <w:numId w:val="3"/>
        </w:numPr>
      </w:pPr>
      <w:r w:rsidRPr="00CF6638">
        <w:t>Budget variance derived from available data</w:t>
      </w:r>
    </w:p>
    <w:p w14:paraId="279251FB" w14:textId="77777777" w:rsidR="00CF6638" w:rsidRPr="00CF6638" w:rsidRDefault="00CF6638" w:rsidP="00CF6638">
      <w:pPr>
        <w:numPr>
          <w:ilvl w:val="0"/>
          <w:numId w:val="3"/>
        </w:numPr>
      </w:pPr>
      <w:r w:rsidRPr="00CF6638">
        <w:t>Aging buckets created based on standard financial practices</w:t>
      </w:r>
    </w:p>
    <w:p w14:paraId="335FC7DA" w14:textId="77777777" w:rsidR="00CF6638" w:rsidRPr="00CF6638" w:rsidRDefault="00CF6638" w:rsidP="00CF6638">
      <w:pPr>
        <w:numPr>
          <w:ilvl w:val="0"/>
          <w:numId w:val="3"/>
        </w:numPr>
      </w:pPr>
      <w:r w:rsidRPr="00CF6638">
        <w:t>Dataset assumed to be complete and accurate</w:t>
      </w:r>
    </w:p>
    <w:p w14:paraId="7C82BC7A" w14:textId="77777777" w:rsidR="00CF6638" w:rsidRPr="00CF6638" w:rsidRDefault="00CF6638" w:rsidP="00CF6638">
      <w:r w:rsidRPr="00CF6638">
        <w:pict w14:anchorId="5D3E4C5D">
          <v:rect id="_x0000_i1045" style="width:0;height:1.5pt" o:hralign="center" o:hrstd="t" o:hr="t" fillcolor="#a0a0a0" stroked="f"/>
        </w:pict>
      </w:r>
    </w:p>
    <w:p w14:paraId="612354BB" w14:textId="55C6A78C" w:rsidR="00CF6638" w:rsidRDefault="00CF6638" w:rsidP="00CF6638">
      <w:pPr>
        <w:pStyle w:val="ListParagraph"/>
        <w:numPr>
          <w:ilvl w:val="0"/>
          <w:numId w:val="4"/>
        </w:numPr>
        <w:rPr>
          <w:b/>
          <w:bCs/>
        </w:rPr>
      </w:pPr>
      <w:r w:rsidRPr="00CF6638">
        <w:rPr>
          <w:b/>
          <w:bCs/>
        </w:rPr>
        <w:t>Conclusion</w:t>
      </w:r>
    </w:p>
    <w:p w14:paraId="1675CFFB" w14:textId="77777777" w:rsidR="00CF6638" w:rsidRPr="00CF6638" w:rsidRDefault="00CF6638" w:rsidP="00CF6638">
      <w:pPr>
        <w:pStyle w:val="ListParagraph"/>
        <w:ind w:left="3840"/>
        <w:rPr>
          <w:b/>
          <w:bCs/>
        </w:rPr>
      </w:pPr>
    </w:p>
    <w:p w14:paraId="237685CB" w14:textId="77777777" w:rsidR="00CF6638" w:rsidRPr="00CF6638" w:rsidRDefault="00CF6638" w:rsidP="00CF6638">
      <w:r w:rsidRPr="00CF6638">
        <w:t>The dashboard provides a comprehensive and interactive view of the company’s financial health by integrating key areas such as revenue growth, profitability, cash flow, and operational efficiency into a single analytical interface. It enables stakeholders to quickly assess overall performance through KPI indicators while also allowing deeper exploration through product-level and regional analysis.</w:t>
      </w:r>
    </w:p>
    <w:p w14:paraId="14F779E4" w14:textId="77777777" w:rsidR="00CF6638" w:rsidRPr="00CF6638" w:rsidRDefault="00CF6638" w:rsidP="00CF6638">
      <w:r w:rsidRPr="00CF6638">
        <w:t>The analysis highlights important business patterns, including moderate profitability margins, regional performance disparities, and reliance on a few high-performing products. Additionally, the presence of receivables in mid-to-high aging buckets and fluctuations in cash flow indicate potential liquidity risks that require proactive management.</w:t>
      </w:r>
    </w:p>
    <w:p w14:paraId="750BDBB1" w14:textId="77777777" w:rsidR="00CF6638" w:rsidRPr="00CF6638" w:rsidRDefault="00CF6638" w:rsidP="00CF6638">
      <w:r w:rsidRPr="00CF6638">
        <w:t>Overall, the dashboard not only supports real-time monitoring but also acts as a decision-support tool by identifying cost inefficiencies, performance gaps against budget, and opportunities for revenue optimization. It can be effectively used by management to improve financial planning, strengthen cash flow control, and drive strategic business decisions.</w:t>
      </w:r>
    </w:p>
    <w:p w14:paraId="220D938E" w14:textId="2838ADED" w:rsidR="00CF6638" w:rsidRPr="00CF6638" w:rsidRDefault="00CF6638" w:rsidP="00CF6638"/>
    <w:p w14:paraId="00AD290E" w14:textId="0C65CD49" w:rsidR="00810A53" w:rsidRDefault="00CF6638">
      <w:r>
        <w:t xml:space="preserve"> </w:t>
      </w:r>
    </w:p>
    <w:sectPr w:rsidR="00810A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65492"/>
    <w:multiLevelType w:val="multilevel"/>
    <w:tmpl w:val="6336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7C5BFA"/>
    <w:multiLevelType w:val="multilevel"/>
    <w:tmpl w:val="83B05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8C5BE3"/>
    <w:multiLevelType w:val="multilevel"/>
    <w:tmpl w:val="B4E2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CC487A"/>
    <w:multiLevelType w:val="hybridMultilevel"/>
    <w:tmpl w:val="9F9461C4"/>
    <w:lvl w:ilvl="0" w:tplc="5F440FA6">
      <w:start w:val="1"/>
      <w:numFmt w:val="decimal"/>
      <w:lvlText w:val="%1."/>
      <w:lvlJc w:val="left"/>
      <w:pPr>
        <w:ind w:left="3840" w:hanging="360"/>
      </w:pPr>
      <w:rPr>
        <w:rFonts w:hint="default"/>
      </w:rPr>
    </w:lvl>
    <w:lvl w:ilvl="1" w:tplc="40090019" w:tentative="1">
      <w:start w:val="1"/>
      <w:numFmt w:val="lowerLetter"/>
      <w:lvlText w:val="%2."/>
      <w:lvlJc w:val="left"/>
      <w:pPr>
        <w:ind w:left="4560" w:hanging="360"/>
      </w:pPr>
    </w:lvl>
    <w:lvl w:ilvl="2" w:tplc="4009001B" w:tentative="1">
      <w:start w:val="1"/>
      <w:numFmt w:val="lowerRoman"/>
      <w:lvlText w:val="%3."/>
      <w:lvlJc w:val="right"/>
      <w:pPr>
        <w:ind w:left="5280" w:hanging="180"/>
      </w:pPr>
    </w:lvl>
    <w:lvl w:ilvl="3" w:tplc="4009000F" w:tentative="1">
      <w:start w:val="1"/>
      <w:numFmt w:val="decimal"/>
      <w:lvlText w:val="%4."/>
      <w:lvlJc w:val="left"/>
      <w:pPr>
        <w:ind w:left="6000" w:hanging="360"/>
      </w:pPr>
    </w:lvl>
    <w:lvl w:ilvl="4" w:tplc="40090019" w:tentative="1">
      <w:start w:val="1"/>
      <w:numFmt w:val="lowerLetter"/>
      <w:lvlText w:val="%5."/>
      <w:lvlJc w:val="left"/>
      <w:pPr>
        <w:ind w:left="6720" w:hanging="360"/>
      </w:pPr>
    </w:lvl>
    <w:lvl w:ilvl="5" w:tplc="4009001B" w:tentative="1">
      <w:start w:val="1"/>
      <w:numFmt w:val="lowerRoman"/>
      <w:lvlText w:val="%6."/>
      <w:lvlJc w:val="right"/>
      <w:pPr>
        <w:ind w:left="7440" w:hanging="180"/>
      </w:pPr>
    </w:lvl>
    <w:lvl w:ilvl="6" w:tplc="4009000F" w:tentative="1">
      <w:start w:val="1"/>
      <w:numFmt w:val="decimal"/>
      <w:lvlText w:val="%7."/>
      <w:lvlJc w:val="left"/>
      <w:pPr>
        <w:ind w:left="8160" w:hanging="360"/>
      </w:pPr>
    </w:lvl>
    <w:lvl w:ilvl="7" w:tplc="40090019" w:tentative="1">
      <w:start w:val="1"/>
      <w:numFmt w:val="lowerLetter"/>
      <w:lvlText w:val="%8."/>
      <w:lvlJc w:val="left"/>
      <w:pPr>
        <w:ind w:left="8880" w:hanging="360"/>
      </w:pPr>
    </w:lvl>
    <w:lvl w:ilvl="8" w:tplc="4009001B" w:tentative="1">
      <w:start w:val="1"/>
      <w:numFmt w:val="lowerRoman"/>
      <w:lvlText w:val="%9."/>
      <w:lvlJc w:val="right"/>
      <w:pPr>
        <w:ind w:left="9600" w:hanging="180"/>
      </w:pPr>
    </w:lvl>
  </w:abstractNum>
  <w:num w:numId="1" w16cid:durableId="823858349">
    <w:abstractNumId w:val="1"/>
  </w:num>
  <w:num w:numId="2" w16cid:durableId="531844742">
    <w:abstractNumId w:val="2"/>
  </w:num>
  <w:num w:numId="3" w16cid:durableId="815999477">
    <w:abstractNumId w:val="0"/>
  </w:num>
  <w:num w:numId="4" w16cid:durableId="10682609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638"/>
    <w:rsid w:val="00035C5D"/>
    <w:rsid w:val="00406588"/>
    <w:rsid w:val="00710AF2"/>
    <w:rsid w:val="007876A7"/>
    <w:rsid w:val="00810A53"/>
    <w:rsid w:val="00CF66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6B2C9"/>
  <w15:chartTrackingRefBased/>
  <w15:docId w15:val="{98157872-3425-4BBC-941F-8B3AF327F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6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66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66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66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6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6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66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66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66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6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638"/>
    <w:rPr>
      <w:rFonts w:eastAsiaTheme="majorEastAsia" w:cstheme="majorBidi"/>
      <w:color w:val="272727" w:themeColor="text1" w:themeTint="D8"/>
    </w:rPr>
  </w:style>
  <w:style w:type="paragraph" w:styleId="Title">
    <w:name w:val="Title"/>
    <w:basedOn w:val="Normal"/>
    <w:next w:val="Normal"/>
    <w:link w:val="TitleChar"/>
    <w:uiPriority w:val="10"/>
    <w:qFormat/>
    <w:rsid w:val="00CF6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638"/>
    <w:pPr>
      <w:spacing w:before="160"/>
      <w:jc w:val="center"/>
    </w:pPr>
    <w:rPr>
      <w:i/>
      <w:iCs/>
      <w:color w:val="404040" w:themeColor="text1" w:themeTint="BF"/>
    </w:rPr>
  </w:style>
  <w:style w:type="character" w:customStyle="1" w:styleId="QuoteChar">
    <w:name w:val="Quote Char"/>
    <w:basedOn w:val="DefaultParagraphFont"/>
    <w:link w:val="Quote"/>
    <w:uiPriority w:val="29"/>
    <w:rsid w:val="00CF6638"/>
    <w:rPr>
      <w:i/>
      <w:iCs/>
      <w:color w:val="404040" w:themeColor="text1" w:themeTint="BF"/>
    </w:rPr>
  </w:style>
  <w:style w:type="paragraph" w:styleId="ListParagraph">
    <w:name w:val="List Paragraph"/>
    <w:basedOn w:val="Normal"/>
    <w:uiPriority w:val="34"/>
    <w:qFormat/>
    <w:rsid w:val="00CF6638"/>
    <w:pPr>
      <w:ind w:left="720"/>
      <w:contextualSpacing/>
    </w:pPr>
  </w:style>
  <w:style w:type="character" w:styleId="IntenseEmphasis">
    <w:name w:val="Intense Emphasis"/>
    <w:basedOn w:val="DefaultParagraphFont"/>
    <w:uiPriority w:val="21"/>
    <w:qFormat/>
    <w:rsid w:val="00CF6638"/>
    <w:rPr>
      <w:i/>
      <w:iCs/>
      <w:color w:val="2F5496" w:themeColor="accent1" w:themeShade="BF"/>
    </w:rPr>
  </w:style>
  <w:style w:type="paragraph" w:styleId="IntenseQuote">
    <w:name w:val="Intense Quote"/>
    <w:basedOn w:val="Normal"/>
    <w:next w:val="Normal"/>
    <w:link w:val="IntenseQuoteChar"/>
    <w:uiPriority w:val="30"/>
    <w:qFormat/>
    <w:rsid w:val="00CF66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638"/>
    <w:rPr>
      <w:i/>
      <w:iCs/>
      <w:color w:val="2F5496" w:themeColor="accent1" w:themeShade="BF"/>
    </w:rPr>
  </w:style>
  <w:style w:type="character" w:styleId="IntenseReference">
    <w:name w:val="Intense Reference"/>
    <w:basedOn w:val="DefaultParagraphFont"/>
    <w:uiPriority w:val="32"/>
    <w:qFormat/>
    <w:rsid w:val="00CF66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448</Words>
  <Characters>2560</Characters>
  <Application>Microsoft Office Word</Application>
  <DocSecurity>0</DocSecurity>
  <Lines>21</Lines>
  <Paragraphs>6</Paragraphs>
  <ScaleCrop>false</ScaleCrop>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gouri sharma</dc:creator>
  <cp:keywords/>
  <dc:description/>
  <cp:lastModifiedBy>gouri sharma</cp:lastModifiedBy>
  <cp:revision>1</cp:revision>
  <dcterms:created xsi:type="dcterms:W3CDTF">2026-04-18T07:23:00Z</dcterms:created>
  <dcterms:modified xsi:type="dcterms:W3CDTF">2026-04-18T07:26:00Z</dcterms:modified>
</cp:coreProperties>
</file>