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F2ED" w14:textId="77777777" w:rsidR="00CC5EB0" w:rsidRPr="00CC5EB0" w:rsidRDefault="00CC5EB0" w:rsidP="00CC5EB0">
      <w:pPr>
        <w:rPr>
          <w:b/>
          <w:bCs/>
        </w:rPr>
      </w:pPr>
      <w:r w:rsidRPr="00CC5EB0">
        <w:rPr>
          <w:b/>
          <w:bCs/>
        </w:rPr>
        <w:t>Credit Card Analytics Dashboard – Overview</w:t>
      </w:r>
    </w:p>
    <w:p w14:paraId="7EEF5738" w14:textId="77777777" w:rsidR="00CC5EB0" w:rsidRPr="00CC5EB0" w:rsidRDefault="00CC5EB0" w:rsidP="00CC5EB0">
      <w:r w:rsidRPr="00CC5EB0">
        <w:rPr>
          <w:b/>
          <w:bCs/>
        </w:rPr>
        <w:t>Approach:</w:t>
      </w:r>
      <w:r w:rsidRPr="00CC5EB0">
        <w:br/>
        <w:t xml:space="preserve">The project was developed using Power BI by importing customer and transaction datasets and performing data cleaning using Power Query. A relationship was established between the tables using </w:t>
      </w:r>
      <w:proofErr w:type="spellStart"/>
      <w:r w:rsidRPr="00CC5EB0">
        <w:t>Client_Num</w:t>
      </w:r>
      <w:proofErr w:type="spellEnd"/>
      <w:r w:rsidRPr="00CC5EB0">
        <w:t xml:space="preserve"> to enable integrated analysis. Calculated columns such as Age Group and Income Group were created using DAX for customer segmentation. Key measures including Total Revenue, Current Week Revenue, Previous Week Revenue, and Revenue Growth % were developed to </w:t>
      </w:r>
      <w:proofErr w:type="spellStart"/>
      <w:r w:rsidRPr="00CC5EB0">
        <w:t>analyze</w:t>
      </w:r>
      <w:proofErr w:type="spellEnd"/>
      <w:r w:rsidRPr="00CC5EB0">
        <w:t xml:space="preserve"> transaction performance. Two interactive dashboards were designed with slicers and filters to enable dynamic exploration of customer demographics and transaction trends.</w:t>
      </w:r>
    </w:p>
    <w:p w14:paraId="3EF1F98D" w14:textId="77777777" w:rsidR="00CC5EB0" w:rsidRPr="00CC5EB0" w:rsidRDefault="00CC5EB0" w:rsidP="00CC5EB0">
      <w:r w:rsidRPr="00CC5EB0">
        <w:pict w14:anchorId="0A7C98F5">
          <v:rect id="_x0000_i1037" style="width:0;height:1.5pt" o:hralign="center" o:hrstd="t" o:hr="t" fillcolor="#a0a0a0" stroked="f"/>
        </w:pict>
      </w:r>
    </w:p>
    <w:p w14:paraId="63FF79F3" w14:textId="77777777" w:rsidR="00CC5EB0" w:rsidRPr="00CC5EB0" w:rsidRDefault="00CC5EB0" w:rsidP="00CC5EB0">
      <w:r w:rsidRPr="00CC5EB0">
        <w:rPr>
          <w:b/>
          <w:bCs/>
        </w:rPr>
        <w:t>Key Insights:</w:t>
      </w:r>
    </w:p>
    <w:p w14:paraId="5AF65669" w14:textId="77777777" w:rsidR="00CC5EB0" w:rsidRPr="00CC5EB0" w:rsidRDefault="00CC5EB0" w:rsidP="00CC5EB0">
      <w:pPr>
        <w:numPr>
          <w:ilvl w:val="0"/>
          <w:numId w:val="1"/>
        </w:numPr>
      </w:pPr>
      <w:r w:rsidRPr="00CC5EB0">
        <w:t xml:space="preserve">The dataset includes </w:t>
      </w:r>
      <w:r w:rsidRPr="00CC5EB0">
        <w:rPr>
          <w:b/>
          <w:bCs/>
        </w:rPr>
        <w:t>10.29K customers</w:t>
      </w:r>
      <w:r w:rsidRPr="00CC5EB0">
        <w:t xml:space="preserve">, with an average income of </w:t>
      </w:r>
      <w:r w:rsidRPr="00CC5EB0">
        <w:rPr>
          <w:b/>
          <w:bCs/>
        </w:rPr>
        <w:t>57.09K</w:t>
      </w:r>
      <w:r w:rsidRPr="00CC5EB0">
        <w:t xml:space="preserve"> and an average satisfaction score of </w:t>
      </w:r>
      <w:r w:rsidRPr="00CC5EB0">
        <w:rPr>
          <w:b/>
          <w:bCs/>
        </w:rPr>
        <w:t>3.19</w:t>
      </w:r>
      <w:r w:rsidRPr="00CC5EB0">
        <w:t xml:space="preserve">, indicating moderate customer satisfaction levels </w:t>
      </w:r>
    </w:p>
    <w:p w14:paraId="375DF301" w14:textId="77777777" w:rsidR="00CC5EB0" w:rsidRPr="00CC5EB0" w:rsidRDefault="00CC5EB0" w:rsidP="00CC5EB0">
      <w:pPr>
        <w:numPr>
          <w:ilvl w:val="0"/>
          <w:numId w:val="1"/>
        </w:numPr>
      </w:pPr>
      <w:r w:rsidRPr="00CC5EB0">
        <w:rPr>
          <w:b/>
          <w:bCs/>
        </w:rPr>
        <w:t>Female customers account for 58.17%</w:t>
      </w:r>
      <w:r w:rsidRPr="00CC5EB0">
        <w:t xml:space="preserve"> of the total base and contribute </w:t>
      </w:r>
      <w:r w:rsidRPr="00CC5EB0">
        <w:rPr>
          <w:b/>
          <w:bCs/>
        </w:rPr>
        <w:t>1.75M revenue</w:t>
      </w:r>
      <w:r w:rsidRPr="00CC5EB0">
        <w:t xml:space="preserve">, compared to males (41.83%) contributing </w:t>
      </w:r>
      <w:r w:rsidRPr="00CC5EB0">
        <w:rPr>
          <w:b/>
          <w:bCs/>
        </w:rPr>
        <w:t>1.25M</w:t>
      </w:r>
      <w:r w:rsidRPr="00CC5EB0">
        <w:t xml:space="preserve">, showing higher engagement and spending among female customers </w:t>
      </w:r>
    </w:p>
    <w:p w14:paraId="2A4046AE" w14:textId="77777777" w:rsidR="00CC5EB0" w:rsidRPr="00CC5EB0" w:rsidRDefault="00CC5EB0" w:rsidP="00CC5EB0">
      <w:pPr>
        <w:numPr>
          <w:ilvl w:val="0"/>
          <w:numId w:val="1"/>
        </w:numPr>
      </w:pPr>
      <w:r w:rsidRPr="00CC5EB0">
        <w:t xml:space="preserve">The </w:t>
      </w:r>
      <w:r w:rsidRPr="00CC5EB0">
        <w:rPr>
          <w:b/>
          <w:bCs/>
        </w:rPr>
        <w:t>medium income group (3.8K customers)</w:t>
      </w:r>
      <w:r w:rsidRPr="00CC5EB0">
        <w:t xml:space="preserve"> forms the largest segment, followed by low (3.4K) and </w:t>
      </w:r>
      <w:proofErr w:type="gramStart"/>
      <w:r w:rsidRPr="00CC5EB0">
        <w:t>high income</w:t>
      </w:r>
      <w:proofErr w:type="gramEnd"/>
      <w:r w:rsidRPr="00CC5EB0">
        <w:t xml:space="preserve"> groups (3.0K), indicating a balanced distribution with dominance in mid-income customers </w:t>
      </w:r>
    </w:p>
    <w:p w14:paraId="7EE44877" w14:textId="77777777" w:rsidR="00CC5EB0" w:rsidRPr="00CC5EB0" w:rsidRDefault="00CC5EB0" w:rsidP="00CC5EB0">
      <w:pPr>
        <w:numPr>
          <w:ilvl w:val="0"/>
          <w:numId w:val="1"/>
        </w:numPr>
      </w:pPr>
      <w:r w:rsidRPr="00CC5EB0">
        <w:t xml:space="preserve">In terms of occupation, </w:t>
      </w:r>
      <w:r w:rsidRPr="00CC5EB0">
        <w:rPr>
          <w:b/>
          <w:bCs/>
        </w:rPr>
        <w:t>self-employed customers generate the highest revenue (0.76M)</w:t>
      </w:r>
      <w:r w:rsidRPr="00CC5EB0">
        <w:t xml:space="preserve">, followed by businessmen (0.57M), highlighting key revenue-driving customer segments </w:t>
      </w:r>
    </w:p>
    <w:p w14:paraId="16BCF378" w14:textId="77777777" w:rsidR="00CC5EB0" w:rsidRPr="00CC5EB0" w:rsidRDefault="00CC5EB0" w:rsidP="00CC5EB0">
      <w:pPr>
        <w:numPr>
          <w:ilvl w:val="0"/>
          <w:numId w:val="1"/>
        </w:numPr>
      </w:pPr>
      <w:r w:rsidRPr="00CC5EB0">
        <w:t xml:space="preserve">Total revenue is approximately </w:t>
      </w:r>
      <w:r w:rsidRPr="00CC5EB0">
        <w:rPr>
          <w:b/>
          <w:bCs/>
        </w:rPr>
        <w:t>3M</w:t>
      </w:r>
      <w:r w:rsidRPr="00CC5EB0">
        <w:t xml:space="preserve">, with </w:t>
      </w:r>
      <w:r w:rsidRPr="00CC5EB0">
        <w:rPr>
          <w:b/>
          <w:bCs/>
        </w:rPr>
        <w:t>weekly growth of 10.15%</w:t>
      </w:r>
      <w:r w:rsidRPr="00CC5EB0">
        <w:t xml:space="preserve"> (51K vs 47K), indicating a positive upward trend in recent transactions </w:t>
      </w:r>
    </w:p>
    <w:p w14:paraId="69D50E58" w14:textId="77777777" w:rsidR="00CC5EB0" w:rsidRPr="00CC5EB0" w:rsidRDefault="00CC5EB0" w:rsidP="00CC5EB0">
      <w:pPr>
        <w:numPr>
          <w:ilvl w:val="0"/>
          <w:numId w:val="1"/>
        </w:numPr>
      </w:pPr>
      <w:r w:rsidRPr="00CC5EB0">
        <w:t xml:space="preserve">The platform records around </w:t>
      </w:r>
      <w:r w:rsidRPr="00CC5EB0">
        <w:rPr>
          <w:b/>
          <w:bCs/>
        </w:rPr>
        <w:t>10K transactions</w:t>
      </w:r>
      <w:r w:rsidRPr="00CC5EB0">
        <w:t xml:space="preserve">, reflecting strong customer activity and card usage </w:t>
      </w:r>
    </w:p>
    <w:p w14:paraId="2D943850" w14:textId="77777777" w:rsidR="00CC5EB0" w:rsidRPr="00CC5EB0" w:rsidRDefault="00CC5EB0" w:rsidP="00CC5EB0">
      <w:pPr>
        <w:numPr>
          <w:ilvl w:val="0"/>
          <w:numId w:val="1"/>
        </w:numPr>
      </w:pPr>
      <w:r w:rsidRPr="00CC5EB0">
        <w:t xml:space="preserve">Revenue is highly concentrated in the </w:t>
      </w:r>
      <w:proofErr w:type="gramStart"/>
      <w:r w:rsidRPr="00CC5EB0">
        <w:rPr>
          <w:b/>
          <w:bCs/>
        </w:rPr>
        <w:t>Blue</w:t>
      </w:r>
      <w:proofErr w:type="gramEnd"/>
      <w:r w:rsidRPr="00CC5EB0">
        <w:rPr>
          <w:b/>
          <w:bCs/>
        </w:rPr>
        <w:t xml:space="preserve"> card category (2.73M)</w:t>
      </w:r>
      <w:r w:rsidRPr="00CC5EB0">
        <w:t xml:space="preserve">, while Silver (0.19M), Gold (0.06M), and Platinum (0.02M) contribute comparatively lower shares, indicating product-level imbalance </w:t>
      </w:r>
    </w:p>
    <w:p w14:paraId="2A410F95" w14:textId="77777777" w:rsidR="00CC5EB0" w:rsidRPr="00CC5EB0" w:rsidRDefault="00CC5EB0" w:rsidP="00CC5EB0">
      <w:r w:rsidRPr="00CC5EB0">
        <w:pict w14:anchorId="6904943E">
          <v:rect id="_x0000_i1038" style="width:0;height:1.5pt" o:hralign="center" o:hrstd="t" o:hr="t" fillcolor="#a0a0a0" stroked="f"/>
        </w:pict>
      </w:r>
    </w:p>
    <w:p w14:paraId="1CFF9BA7" w14:textId="77777777" w:rsidR="00CC5EB0" w:rsidRPr="00CC5EB0" w:rsidRDefault="00CC5EB0" w:rsidP="00CC5EB0">
      <w:r w:rsidRPr="00CC5EB0">
        <w:rPr>
          <w:b/>
          <w:bCs/>
        </w:rPr>
        <w:t>Challenges Faced:</w:t>
      </w:r>
    </w:p>
    <w:p w14:paraId="150304F3" w14:textId="77777777" w:rsidR="00CC5EB0" w:rsidRPr="00CC5EB0" w:rsidRDefault="00CC5EB0" w:rsidP="00CC5EB0">
      <w:pPr>
        <w:numPr>
          <w:ilvl w:val="0"/>
          <w:numId w:val="2"/>
        </w:numPr>
      </w:pPr>
      <w:r w:rsidRPr="00CC5EB0">
        <w:t xml:space="preserve">Handling data type inconsistencies, especially date formatting for weekly analysis </w:t>
      </w:r>
    </w:p>
    <w:p w14:paraId="2FE1A95B" w14:textId="77777777" w:rsidR="00CC5EB0" w:rsidRPr="00CC5EB0" w:rsidRDefault="00CC5EB0" w:rsidP="00CC5EB0">
      <w:pPr>
        <w:numPr>
          <w:ilvl w:val="0"/>
          <w:numId w:val="2"/>
        </w:numPr>
      </w:pPr>
      <w:r w:rsidRPr="00CC5EB0">
        <w:t xml:space="preserve">Building accurate relationships between customer and transaction datasets </w:t>
      </w:r>
    </w:p>
    <w:p w14:paraId="7F2AE20B" w14:textId="77777777" w:rsidR="00CC5EB0" w:rsidRPr="00CC5EB0" w:rsidRDefault="00CC5EB0" w:rsidP="00CC5EB0">
      <w:pPr>
        <w:numPr>
          <w:ilvl w:val="0"/>
          <w:numId w:val="2"/>
        </w:numPr>
      </w:pPr>
      <w:r w:rsidRPr="00CC5EB0">
        <w:t xml:space="preserve">Creating DAX measures for revenue tracking and growth comparison </w:t>
      </w:r>
    </w:p>
    <w:p w14:paraId="2B2EC5F8" w14:textId="77777777" w:rsidR="00CC5EB0" w:rsidRPr="00CC5EB0" w:rsidRDefault="00CC5EB0" w:rsidP="00CC5EB0">
      <w:pPr>
        <w:numPr>
          <w:ilvl w:val="0"/>
          <w:numId w:val="2"/>
        </w:numPr>
      </w:pPr>
      <w:r w:rsidRPr="00CC5EB0">
        <w:t xml:space="preserve">Designing dashboards that maintain clarity while ensuring interactivity </w:t>
      </w:r>
    </w:p>
    <w:p w14:paraId="4D803A20" w14:textId="77777777" w:rsidR="00810A53" w:rsidRDefault="00810A53"/>
    <w:sectPr w:rsidR="00810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7F79"/>
    <w:multiLevelType w:val="multilevel"/>
    <w:tmpl w:val="4244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D3C7E"/>
    <w:multiLevelType w:val="multilevel"/>
    <w:tmpl w:val="DF1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808006">
    <w:abstractNumId w:val="1"/>
  </w:num>
  <w:num w:numId="2" w16cid:durableId="160970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B0"/>
    <w:rsid w:val="00035C5D"/>
    <w:rsid w:val="002D7F8F"/>
    <w:rsid w:val="00406588"/>
    <w:rsid w:val="007876A7"/>
    <w:rsid w:val="00810A53"/>
    <w:rsid w:val="00CC5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3314"/>
  <w15:chartTrackingRefBased/>
  <w15:docId w15:val="{2E7DF191-C44C-4F3B-9F80-D9978FF19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EB0"/>
    <w:rPr>
      <w:rFonts w:eastAsiaTheme="majorEastAsia" w:cstheme="majorBidi"/>
      <w:color w:val="272727" w:themeColor="text1" w:themeTint="D8"/>
    </w:rPr>
  </w:style>
  <w:style w:type="paragraph" w:styleId="Title">
    <w:name w:val="Title"/>
    <w:basedOn w:val="Normal"/>
    <w:next w:val="Normal"/>
    <w:link w:val="TitleChar"/>
    <w:uiPriority w:val="10"/>
    <w:qFormat/>
    <w:rsid w:val="00CC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EB0"/>
    <w:pPr>
      <w:spacing w:before="160"/>
      <w:jc w:val="center"/>
    </w:pPr>
    <w:rPr>
      <w:i/>
      <w:iCs/>
      <w:color w:val="404040" w:themeColor="text1" w:themeTint="BF"/>
    </w:rPr>
  </w:style>
  <w:style w:type="character" w:customStyle="1" w:styleId="QuoteChar">
    <w:name w:val="Quote Char"/>
    <w:basedOn w:val="DefaultParagraphFont"/>
    <w:link w:val="Quote"/>
    <w:uiPriority w:val="29"/>
    <w:rsid w:val="00CC5EB0"/>
    <w:rPr>
      <w:i/>
      <w:iCs/>
      <w:color w:val="404040" w:themeColor="text1" w:themeTint="BF"/>
    </w:rPr>
  </w:style>
  <w:style w:type="paragraph" w:styleId="ListParagraph">
    <w:name w:val="List Paragraph"/>
    <w:basedOn w:val="Normal"/>
    <w:uiPriority w:val="34"/>
    <w:qFormat/>
    <w:rsid w:val="00CC5EB0"/>
    <w:pPr>
      <w:ind w:left="720"/>
      <w:contextualSpacing/>
    </w:pPr>
  </w:style>
  <w:style w:type="character" w:styleId="IntenseEmphasis">
    <w:name w:val="Intense Emphasis"/>
    <w:basedOn w:val="DefaultParagraphFont"/>
    <w:uiPriority w:val="21"/>
    <w:qFormat/>
    <w:rsid w:val="00CC5EB0"/>
    <w:rPr>
      <w:i/>
      <w:iCs/>
      <w:color w:val="2F5496" w:themeColor="accent1" w:themeShade="BF"/>
    </w:rPr>
  </w:style>
  <w:style w:type="paragraph" w:styleId="IntenseQuote">
    <w:name w:val="Intense Quote"/>
    <w:basedOn w:val="Normal"/>
    <w:next w:val="Normal"/>
    <w:link w:val="IntenseQuoteChar"/>
    <w:uiPriority w:val="30"/>
    <w:qFormat/>
    <w:rsid w:val="00CC5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EB0"/>
    <w:rPr>
      <w:i/>
      <w:iCs/>
      <w:color w:val="2F5496" w:themeColor="accent1" w:themeShade="BF"/>
    </w:rPr>
  </w:style>
  <w:style w:type="character" w:styleId="IntenseReference">
    <w:name w:val="Intense Reference"/>
    <w:basedOn w:val="DefaultParagraphFont"/>
    <w:uiPriority w:val="32"/>
    <w:qFormat/>
    <w:rsid w:val="00CC5E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 sharma</dc:creator>
  <cp:keywords/>
  <dc:description/>
  <cp:lastModifiedBy>gouri sharma</cp:lastModifiedBy>
  <cp:revision>1</cp:revision>
  <dcterms:created xsi:type="dcterms:W3CDTF">2026-04-16T06:30:00Z</dcterms:created>
  <dcterms:modified xsi:type="dcterms:W3CDTF">2026-04-16T06:33:00Z</dcterms:modified>
</cp:coreProperties>
</file>