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9C6E2C"/>
          <w:spacing w:val="20"/>
          <w:sz w:val="20"/>
          <w:szCs w:val="20"/>
        </w:rPr>
        <w:t xml:space="preserve">KARMA ARCHIVE — BACKEND REFERENCE</w:t>
      </w:r>
    </w:p>
    <w:p>
      <w:pPr>
        <w:spacing w:after="160"/>
      </w:pPr>
      <w:r>
        <w:rPr>
          <w:b/>
          <w:bCs/>
          <w:sz w:val="44"/>
          <w:szCs w:val="44"/>
        </w:rPr>
        <w:t xml:space="preserve">Analytics, explainability &amp; trade-management layer</w:t>
      </w:r>
    </w:p>
    <w:p>
      <w:pPr>
        <w:spacing w:after="240"/>
      </w:pPr>
      <w:r>
        <w:rPr>
          <w:color w:val="595959"/>
          <w:sz w:val="21"/>
          <w:szCs w:val="21"/>
        </w:rPr>
        <w:t xml:space="preserve">A crypto trading analysis platform built from 0 → 90+ resolved live trades: a deterministic scoring/decision engine, Claude-generated trade plans, and — this document's focus — the read-only analytics layer built on top of it across four release rounds (V2.1 → V3.2).</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335"/>
        <w:gridCol w:w="2335"/>
        <w:gridCol w:w="2335"/>
        <w:gridCol w:w="2335"/>
      </w:tblGrid>
      <w:tr>
        <w:tc>
          <w:tcPr>
            <w:tcW w:type="dxa" w:w="2335"/>
            <w:shd w:fill="F5F1E8" w:color="auto" w:val="clear"/>
            <w:tcMar>
              <w:top w:type="dxa" w:w="80"/>
              <w:left w:type="dxa" w:w="100"/>
              <w:bottom w:type="dxa" w:w="80"/>
              <w:right w:type="dxa" w:w="100"/>
            </w:tcMar>
          </w:tcPr>
          <w:p>
            <w:r>
              <w:rPr>
                <w:b/>
                <w:bCs/>
                <w:color w:val="595959"/>
                <w:sz w:val="16"/>
                <w:szCs w:val="16"/>
              </w:rPr>
              <w:t xml:space="preserve">Repo</w:t>
            </w:r>
          </w:p>
        </w:tc>
        <w:tc>
          <w:tcPr>
            <w:tcW w:type="dxa" w:w="2335"/>
            <w:tcMar>
              <w:top w:type="dxa" w:w="80"/>
              <w:left w:type="dxa" w:w="100"/>
              <w:bottom w:type="dxa" w:w="80"/>
              <w:right w:type="dxa" w:w="100"/>
            </w:tcMar>
          </w:tcPr>
          <w:p>
            <w:r>
              <w:rPr>
                <w:rFonts w:ascii="Consolas" w:cs="Consolas" w:eastAsia="Consolas" w:hAnsi="Consolas"/>
                <w:sz w:val="18"/>
                <w:szCs w:val="18"/>
              </w:rPr>
              <w:t xml:space="preserve">crypto-terminal/backend</w:t>
            </w:r>
          </w:p>
        </w:tc>
        <w:tc>
          <w:tcPr>
            <w:tcW w:type="dxa" w:w="2335"/>
            <w:shd w:fill="F5F1E8" w:color="auto" w:val="clear"/>
            <w:tcMar>
              <w:top w:type="dxa" w:w="80"/>
              <w:left w:type="dxa" w:w="100"/>
              <w:bottom w:type="dxa" w:w="80"/>
              <w:right w:type="dxa" w:w="100"/>
            </w:tcMar>
          </w:tcPr>
          <w:p>
            <w:r>
              <w:rPr>
                <w:b/>
                <w:bCs/>
                <w:color w:val="595959"/>
                <w:sz w:val="16"/>
                <w:szCs w:val="16"/>
              </w:rPr>
              <w:t xml:space="preserve">Commits</w:t>
            </w:r>
          </w:p>
        </w:tc>
        <w:tc>
          <w:tcPr>
            <w:tcW w:type="dxa" w:w="2335"/>
            <w:tcMar>
              <w:top w:type="dxa" w:w="80"/>
              <w:left w:type="dxa" w:w="100"/>
              <w:bottom w:type="dxa" w:w="80"/>
              <w:right w:type="dxa" w:w="100"/>
            </w:tcMar>
          </w:tcPr>
          <w:p>
            <w:r>
              <w:rPr>
                <w:rFonts w:ascii="Consolas" w:cs="Consolas" w:eastAsia="Consolas" w:hAnsi="Consolas"/>
                <w:sz w:val="18"/>
                <w:szCs w:val="18"/>
              </w:rPr>
              <w:t xml:space="preserve">10 (c511b3e→ffb009d)</w:t>
            </w:r>
          </w:p>
        </w:tc>
      </w:tr>
      <w:tr>
        <w:tc>
          <w:tcPr>
            <w:tcW w:type="dxa" w:w="2335"/>
            <w:shd w:fill="F5F1E8" w:color="auto" w:val="clear"/>
            <w:tcMar>
              <w:top w:type="dxa" w:w="80"/>
              <w:left w:type="dxa" w:w="100"/>
              <w:bottom w:type="dxa" w:w="80"/>
              <w:right w:type="dxa" w:w="100"/>
            </w:tcMar>
          </w:tcPr>
          <w:p>
            <w:r>
              <w:rPr>
                <w:b/>
                <w:bCs/>
                <w:color w:val="595959"/>
                <w:sz w:val="16"/>
                <w:szCs w:val="16"/>
              </w:rPr>
              <w:t xml:space="preserve">Routes</w:t>
            </w:r>
          </w:p>
        </w:tc>
        <w:tc>
          <w:tcPr>
            <w:tcW w:type="dxa" w:w="2335"/>
            <w:tcMar>
              <w:top w:type="dxa" w:w="80"/>
              <w:left w:type="dxa" w:w="100"/>
              <w:bottom w:type="dxa" w:w="80"/>
              <w:right w:type="dxa" w:w="100"/>
            </w:tcMar>
          </w:tcPr>
          <w:p>
            <w:r>
              <w:rPr>
                <w:rFonts w:ascii="Consolas" w:cs="Consolas" w:eastAsia="Consolas" w:hAnsi="Consolas"/>
                <w:sz w:val="18"/>
                <w:szCs w:val="18"/>
              </w:rPr>
              <w:t xml:space="preserve">30 documented below</w:t>
            </w:r>
          </w:p>
        </w:tc>
        <w:tc>
          <w:tcPr>
            <w:tcW w:type="dxa" w:w="2335"/>
            <w:shd w:fill="F5F1E8" w:color="auto" w:val="clear"/>
            <w:tcMar>
              <w:top w:type="dxa" w:w="80"/>
              <w:left w:type="dxa" w:w="100"/>
              <w:bottom w:type="dxa" w:w="80"/>
              <w:right w:type="dxa" w:w="100"/>
            </w:tcMar>
          </w:tcPr>
          <w:p>
            <w:r>
              <w:rPr>
                <w:b/>
                <w:bCs/>
                <w:color w:val="595959"/>
                <w:sz w:val="16"/>
                <w:szCs w:val="16"/>
              </w:rPr>
              <w:t xml:space="preserve">Status</w:t>
            </w:r>
          </w:p>
        </w:tc>
        <w:tc>
          <w:tcPr>
            <w:tcW w:type="dxa" w:w="2335"/>
            <w:tcMar>
              <w:top w:type="dxa" w:w="80"/>
              <w:left w:type="dxa" w:w="100"/>
              <w:bottom w:type="dxa" w:w="80"/>
              <w:right w:type="dxa" w:w="100"/>
            </w:tcMar>
          </w:tcPr>
          <w:p>
            <w:r>
              <w:rPr>
                <w:rFonts w:ascii="Consolas" w:cs="Consolas" w:eastAsia="Consolas" w:hAnsi="Consolas"/>
                <w:sz w:val="18"/>
                <w:szCs w:val="18"/>
              </w:rPr>
              <w:t xml:space="preserve">pushed to origin/master</w:t>
            </w:r>
          </w:p>
        </w:tc>
      </w:tr>
    </w:tbl>
    <w:p>
      <w:pPr>
        <w:spacing w:after="200"/>
      </w:pPr>
    </w:p>
    <w:p>
      <w:pPr>
        <w:pStyle w:val="Heading1"/>
        <w:spacing w:after="200" w:before="400"/>
      </w:pPr>
      <w:r>
        <w:t xml:space="preserve">1. Architecture &amp; Constraints</w:t>
      </w:r>
    </w:p>
    <w:p>
      <w:pPr>
        <w:spacing w:after="200"/>
      </w:pPr>
      <w:r>
        <w:rPr>
          <w:i/>
          <w:iCs/>
          <w:color w:val="595959"/>
        </w:rPr>
        <w:t xml:space="preserve">Every module in this document is additive: it reads already-stored data and computes statistics, suggestions, or narrative — nothing here changes which trades get taken, how they're scored, or what Claude is asked to decide.</w:t>
      </w:r>
    </w:p>
    <w:p>
      <w:pPr>
        <w:pStyle w:val="Heading2"/>
        <w:spacing w:after="120" w:before="300"/>
      </w:pPr>
      <w:r>
        <w:t xml:space="preserve">The hard freeze</w:t>
      </w:r>
    </w:p>
    <w:p>
      <w:pPr>
        <w:spacing w:after="140"/>
      </w:pPr>
      <w:r>
        <w:t xml:space="preserve">These files decide trades and were untouched by everything in this document — verified with git diff --stat before every commit:</w:t>
      </w:r>
    </w:p>
    <w:p>
      <w:pPr>
        <w:spacing w:after="40"/>
      </w:pPr>
      <w:r>
        <w:rPr>
          <w:rFonts w:ascii="Consolas" w:cs="Consolas" w:eastAsia="Consolas" w:hAnsi="Consolas"/>
          <w:sz w:val="18"/>
          <w:szCs w:val="18"/>
        </w:rPr>
        <w:t xml:space="preserve">scoring.py</w:t>
      </w:r>
    </w:p>
    <w:p>
      <w:pPr>
        <w:spacing w:after="40"/>
      </w:pPr>
      <w:r>
        <w:rPr>
          <w:rFonts w:ascii="Consolas" w:cs="Consolas" w:eastAsia="Consolas" w:hAnsi="Consolas"/>
          <w:sz w:val="18"/>
          <w:szCs w:val="18"/>
        </w:rPr>
        <w:t xml:space="preserve">decision.py</w:t>
      </w:r>
    </w:p>
    <w:p>
      <w:pPr>
        <w:spacing w:after="40"/>
      </w:pPr>
      <w:r>
        <w:rPr>
          <w:rFonts w:ascii="Consolas" w:cs="Consolas" w:eastAsia="Consolas" w:hAnsi="Consolas"/>
          <w:sz w:val="18"/>
          <w:szCs w:val="18"/>
        </w:rPr>
        <w:t xml:space="preserve">market_regime.py</w:t>
      </w:r>
    </w:p>
    <w:p>
      <w:pPr>
        <w:spacing w:after="40"/>
      </w:pPr>
      <w:r>
        <w:rPr>
          <w:rFonts w:ascii="Consolas" w:cs="Consolas" w:eastAsia="Consolas" w:hAnsi="Consolas"/>
          <w:sz w:val="18"/>
          <w:szCs w:val="18"/>
        </w:rPr>
        <w:t xml:space="preserve">reasoning.py</w:t>
      </w:r>
      <w:r>
        <w:t xml:space="preserve">  (the Claude prompt)</w:t>
      </w:r>
    </w:p>
    <w:p>
      <w:pPr>
        <w:spacing w:after="40"/>
      </w:pPr>
      <w:r>
        <w:rPr>
          <w:rFonts w:ascii="Consolas" w:cs="Consolas" w:eastAsia="Consolas" w:hAnsi="Consolas"/>
          <w:sz w:val="18"/>
          <w:szCs w:val="18"/>
        </w:rPr>
        <w:t xml:space="preserve">ml_model.py</w:t>
      </w:r>
      <w:r>
        <w:t xml:space="preserve">  (weights / training)</w:t>
      </w:r>
    </w:p>
    <w:p>
      <w:pPr>
        <w:spacing w:after="40"/>
      </w:pPr>
      <w:r>
        <w:rPr>
          <w:rFonts w:ascii="Consolas" w:cs="Consolas" w:eastAsia="Consolas" w:hAnsi="Consolas"/>
          <w:sz w:val="18"/>
          <w:szCs w:val="18"/>
        </w:rPr>
        <w:t xml:space="preserve">confidence.py</w:t>
      </w:r>
    </w:p>
    <w:p>
      <w:pPr>
        <w:spacing w:after="40"/>
      </w:pPr>
      <w:r>
        <w:rPr>
          <w:rFonts w:ascii="Consolas" w:cs="Consolas" w:eastAsia="Consolas" w:hAnsi="Consolas"/>
          <w:sz w:val="18"/>
          <w:szCs w:val="18"/>
        </w:rPr>
        <w:t xml:space="preserve">entry_quality.py</w:t>
      </w:r>
    </w:p>
    <w:p>
      <w:pPr>
        <w:spacing w:after="40"/>
      </w:pPr>
      <w:r>
        <w:rPr>
          <w:rFonts w:ascii="Consolas" w:cs="Consolas" w:eastAsia="Consolas" w:hAnsi="Consolas"/>
          <w:sz w:val="18"/>
          <w:szCs w:val="18"/>
        </w:rPr>
        <w:t xml:space="preserve">lifecycle.py</w:t>
      </w:r>
    </w:p>
    <w:p>
      <w:pPr>
        <w:spacing w:after="160"/>
      </w:pPr>
      <w:r>
        <w:rPr>
          <w:rFonts w:ascii="Consolas" w:cs="Consolas" w:eastAsia="Consolas" w:hAnsi="Consolas"/>
          <w:sz w:val="18"/>
          <w:szCs w:val="18"/>
        </w:rPr>
        <w:t xml:space="preserve">background_scanner.py</w:t>
      </w:r>
    </w:p>
    <w:p>
      <w:pPr>
        <w:spacing w:after="140"/>
      </w:pPr>
      <w:r>
        <w:t xml:space="preserve">One exception exists in the record, on the record: a commit briefly changed scoring.py's momentum/volume/structure weights from odds-ratio evidence, then reverted them in the very next commit — measurement and implementation had been folded into one pass without a separate sign-off step in between. Both the change and the revert are in the git history (901580f → d44bd96).</w:t>
      </w:r>
    </w:p>
    <w:p>
      <w:pPr>
        <w:pStyle w:val="Heading2"/>
        <w:spacing w:after="120" w:before="300"/>
      </w:pPr>
      <w:r>
        <w:t xml:space="preserve">What's new instead</w:t>
      </w:r>
    </w:p>
    <w:p>
      <w:pPr>
        <w:spacing w:after="140"/>
      </w:pPr>
      <w:r>
        <w:t xml:space="preserve">A new app/analytics/ package (12 modules) plus extensions to app/engine/performance_center.py — Expected Value, Trade Manager probabilities, Confidence Calibration, Red Flags, Failure Patterns, Symbol Reliability, Trade Quality, Karma Explain, Decision Audit, Strategy Attribution, Trade Truth verdicts, Prediction Version Metadata, Market Health, Portfolio Exposure, Daily Scorecards, a Missed-Opportunity recorder, Trade Journal, and a Calibration Dashboard.</w:t>
      </w:r>
    </w:p>
    <w:p>
      <w:pPr>
        <w:spacing w:after="140"/>
      </w:pPr>
      <w:r>
        <w:t xml:space="preserve">No ML retraining, no automated weight optimizer, no coin-specific models — deferred until the resolved-trade count clears the thresholds each report states, not tuned on the current sample.</w:t>
      </w:r>
    </w:p>
    <w:p>
      <w:pPr>
        <w:pStyle w:val="Heading1"/>
        <w:spacing w:after="200" w:before="400"/>
      </w:pPr>
      <w:r>
        <w:t xml:space="preserve">2. API Reference</w:t>
      </w:r>
    </w:p>
    <w:p>
      <w:pPr>
        <w:spacing w:after="200"/>
      </w:pPr>
      <w:r>
        <w:rPr>
          <w:i/>
          <w:iCs/>
          <w:color w:val="595959"/>
        </w:rPr>
        <w:t xml:space="preserve">All under /api/performance/* unless noted. Full interactive docs (try each call against live data): /docs on the running server.</w:t>
      </w:r>
    </w:p>
    <w:p>
      <w:pPr>
        <w:pStyle w:val="Heading2"/>
        <w:spacing w:after="120" w:before="300"/>
      </w:pPr>
      <w:r>
        <w:t xml:space="preserve">Core performance analytics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EFE8D8" w:color="auto" w:val="clear"/>
            <w:tcMar>
              <w:top w:type="dxa" w:w="80"/>
              <w:left w:type="dxa" w:w="100"/>
              <w:bottom w:type="dxa" w:w="80"/>
              <w:right w:type="dxa" w:w="100"/>
            </w:tcMar>
          </w:tcPr>
          <w:p>
            <w:r>
              <w:rPr>
                <w:b/>
                <w:bCs/>
                <w:sz w:val="18"/>
                <w:szCs w:val="18"/>
              </w:rPr>
              <w:t xml:space="preserve">Endpoint</w:t>
            </w:r>
          </w:p>
        </w:tc>
        <w:tc>
          <w:tcPr>
            <w:tcW w:type="dxa" w:w="6740"/>
            <w:shd w:fill="EFE8D8" w:color="auto" w:val="clear"/>
            <w:tcMar>
              <w:top w:type="dxa" w:w="80"/>
              <w:left w:type="dxa" w:w="100"/>
              <w:bottom w:type="dxa" w:w="80"/>
              <w:right w:type="dxa" w:w="100"/>
            </w:tcMar>
          </w:tcPr>
          <w:p>
            <w:r>
              <w:rPr>
                <w:b/>
                <w:bCs/>
                <w:sz w:val="18"/>
                <w:szCs w:val="18"/>
              </w:rPr>
              <w:t xml:space="preserve">What it returns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/scanner-health</w:t>
            </w:r>
          </w:p>
        </w:tc>
        <w:tc>
          <w:tcPr>
            <w:tcW w:type="dxa" w:w="6740"/>
            <w:tcMar>
              <w:top w:type="dxa" w:w="80"/>
              <w:left w:type="dxa" w:w="100"/>
              <w:bottom w:type="dxa" w:w="80"/>
              <w:right w:type="dxa" w:w="100"/>
            </w:tcMar>
          </w:tcPr>
          <w:p>
            <w:r>
              <w:rPr>
                <w:sz w:val="19"/>
                <w:szCs w:val="19"/>
              </w:rPr>
              <w:t xml:space="preserve">Heartbeat timeline, outage detection, uptime %. Surfaced two real multi-day monitoring gaps that explained the worst historical stop-slippage losses.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/stop-execution</w:t>
            </w:r>
          </w:p>
        </w:tc>
        <w:tc>
          <w:tcPr>
            <w:tcW w:type="dxa" w:w="6740"/>
            <w:tcMar>
              <w:top w:type="dxa" w:w="80"/>
              <w:left w:type="dxa" w:w="100"/>
              <w:bottom w:type="dxa" w:w="80"/>
              <w:right w:type="dxa" w:w="100"/>
            </w:tcMar>
          </w:tcPr>
          <w:p>
            <w:r>
              <w:rPr>
                <w:sz w:val="19"/>
                <w:szCs w:val="19"/>
              </w:rPr>
              <w:t xml:space="preserve">Slippage distribution by direction, symbol, ATR-volatility bucket, and during-outage vs. normal uptime.</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/tp-continuation</w:t>
            </w:r>
          </w:p>
        </w:tc>
        <w:tc>
          <w:tcPr>
            <w:tcW w:type="dxa" w:w="6740"/>
            <w:tcMar>
              <w:top w:type="dxa" w:w="80"/>
              <w:left w:type="dxa" w:w="100"/>
              <w:bottom w:type="dxa" w:w="80"/>
              <w:right w:type="dxa" w:w="100"/>
            </w:tcMar>
          </w:tcPr>
          <w:p>
            <w:r>
              <w:rPr>
                <w:sz w:val="19"/>
                <w:szCs w:val="19"/>
              </w:rPr>
              <w:t xml:space="preserve">P(TP2|TP1), P(TP3|TP2), return-to-entry / return-to-stop probabilities from real snapshot price paths.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/confidence-lab</w:t>
            </w:r>
          </w:p>
        </w:tc>
        <w:tc>
          <w:tcPr>
            <w:tcW w:type="dxa" w:w="6740"/>
            <w:tcMar>
              <w:top w:type="dxa" w:w="80"/>
              <w:left w:type="dxa" w:w="100"/>
              <w:bottom w:type="dxa" w:w="80"/>
              <w:right w:type="dxa" w:w="100"/>
            </w:tcMar>
          </w:tcPr>
          <w:p>
            <w:r>
              <w:rPr>
                <w:sz w:val="19"/>
                <w:szCs w:val="19"/>
              </w:rPr>
              <w:t xml:space="preserve">Confidence-bucket win rates, Brier score, Expected Calibration Error.</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/coin-leaderboard</w:t>
            </w:r>
          </w:p>
        </w:tc>
        <w:tc>
          <w:tcPr>
            <w:tcW w:type="dxa" w:w="6740"/>
            <w:tcMar>
              <w:top w:type="dxa" w:w="80"/>
              <w:left w:type="dxa" w:w="100"/>
              <w:bottom w:type="dxa" w:w="80"/>
              <w:right w:type="dxa" w:w="100"/>
            </w:tcMar>
          </w:tcPr>
          <w:p>
            <w:r>
              <w:rPr>
                <w:sz w:val="19"/>
                <w:szCs w:val="19"/>
              </w:rPr>
              <w:t xml:space="preserve">Per-symbol profit factor / win rate / return / MFE-MAE, gated behind a minimum sample.</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/trade-replay/{id}</w:t>
            </w:r>
          </w:p>
        </w:tc>
        <w:tc>
          <w:tcPr>
            <w:tcW w:type="dxa" w:w="6740"/>
            <w:tcMar>
              <w:top w:type="dxa" w:w="80"/>
              <w:left w:type="dxa" w:w="100"/>
              <w:bottom w:type="dxa" w:w="80"/>
              <w:right w:type="dxa" w:w="100"/>
            </w:tcMar>
          </w:tcPr>
          <w:p>
            <w:r>
              <w:rPr>
                <w:sz w:val="19"/>
                <w:szCs w:val="19"/>
              </w:rPr>
              <w:t xml:space="preserve">Full per-trade payload: entry indicators, Claude's reasoning, snapshot timeline, TP/SL events, exit reason, plus a plain-English narrative and forensic pattern match.</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/trade-manager</w:t>
            </w:r>
          </w:p>
        </w:tc>
        <w:tc>
          <w:tcPr>
            <w:tcW w:type="dxa" w:w="6740"/>
            <w:tcMar>
              <w:top w:type="dxa" w:w="80"/>
              <w:left w:type="dxa" w:w="100"/>
              <w:bottom w:type="dxa" w:w="80"/>
              <w:right w:type="dxa" w:w="100"/>
            </w:tcMar>
          </w:tcPr>
          <w:p>
            <w:r>
              <w:rPr>
                <w:sz w:val="19"/>
                <w:szCs w:val="19"/>
              </w:rPr>
              <w:t xml:space="preserve">Every open trade's distance-to-target, confidence/structure/regime drift since entry, and a Hold / Move-Stop / Exit suggestion with conditional_triggers.</w:t>
            </w:r>
          </w:p>
        </w:tc>
      </w:tr>
    </w:tbl>
    <w:p>
      <w:pPr>
        <w:pStyle w:val="Heading2"/>
        <w:spacing w:after="120" w:before="300"/>
      </w:pPr>
      <w:r>
        <w:t xml:space="preserve">Expected value &amp; risk</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EFE8D8" w:color="auto" w:val="clear"/>
            <w:tcMar>
              <w:top w:type="dxa" w:w="80"/>
              <w:left w:type="dxa" w:w="100"/>
              <w:bottom w:type="dxa" w:w="80"/>
              <w:right w:type="dxa" w:w="100"/>
            </w:tcMar>
          </w:tcPr>
          <w:p>
            <w:r>
              <w:rPr>
                <w:b/>
                <w:bCs/>
                <w:sz w:val="18"/>
                <w:szCs w:val="18"/>
              </w:rPr>
              <w:t xml:space="preserve">Endpoint</w:t>
            </w:r>
          </w:p>
        </w:tc>
        <w:tc>
          <w:tcPr>
            <w:tcW w:type="dxa" w:w="6740"/>
            <w:shd w:fill="EFE8D8" w:color="auto" w:val="clear"/>
            <w:tcMar>
              <w:top w:type="dxa" w:w="80"/>
              <w:left w:type="dxa" w:w="100"/>
              <w:bottom w:type="dxa" w:w="80"/>
              <w:right w:type="dxa" w:w="100"/>
            </w:tcMar>
          </w:tcPr>
          <w:p>
            <w:r>
              <w:rPr>
                <w:b/>
                <w:bCs/>
                <w:sz w:val="18"/>
                <w:szCs w:val="18"/>
              </w:rPr>
              <w:t xml:space="preserve">What it returns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/calibration-table</w:t>
            </w:r>
          </w:p>
        </w:tc>
        <w:tc>
          <w:tcPr>
            <w:tcW w:type="dxa" w:w="6740"/>
            <w:tcMar>
              <w:top w:type="dxa" w:w="80"/>
              <w:left w:type="dxa" w:w="100"/>
              <w:bottom w:type="dxa" w:w="80"/>
              <w:right w:type="dxa" w:w="100"/>
            </w:tcMar>
          </w:tcPr>
          <w:p>
            <w:r>
              <w:rPr>
                <w:sz w:val="19"/>
                <w:szCs w:val="19"/>
              </w:rPr>
              <w:t xml:space="preserve">Predicted vs. observed win rate per confidence bucket with a 95% Wilson confidence interval.</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/ev-leaderboard</w:t>
            </w:r>
          </w:p>
        </w:tc>
        <w:tc>
          <w:tcPr>
            <w:tcW w:type="dxa" w:w="6740"/>
            <w:tcMar>
              <w:top w:type="dxa" w:w="80"/>
              <w:left w:type="dxa" w:w="100"/>
              <w:bottom w:type="dxa" w:w="80"/>
              <w:right w:type="dxa" w:w="100"/>
            </w:tcMar>
          </w:tcPr>
          <w:p>
            <w:r>
              <w:rPr>
                <w:sz w:val="19"/>
                <w:szCs w:val="19"/>
              </w:rPr>
              <w:t xml:space="preserve">Ranks resolved trades by stored expected_r against what actually happened; reports corr(score, expected_r).</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/red-flag-leaderboard</w:t>
            </w:r>
          </w:p>
        </w:tc>
        <w:tc>
          <w:tcPr>
            <w:tcW w:type="dxa" w:w="6740"/>
            <w:tcMar>
              <w:top w:type="dxa" w:w="80"/>
              <w:left w:type="dxa" w:w="100"/>
              <w:bottom w:type="dxa" w:w="80"/>
              <w:right w:type="dxa" w:w="100"/>
            </w:tcMar>
          </w:tcPr>
          <w:p>
            <w:r>
              <w:rPr>
                <w:sz w:val="19"/>
                <w:szCs w:val="19"/>
              </w:rPr>
              <w:t xml:space="preserve">Win rate / return by red-flag count (0–3): RSI chop-zone, weak structure, no historical analogue.</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/feature-importance</w:t>
            </w:r>
          </w:p>
        </w:tc>
        <w:tc>
          <w:tcPr>
            <w:tcW w:type="dxa" w:w="6740"/>
            <w:tcMar>
              <w:top w:type="dxa" w:w="80"/>
              <w:left w:type="dxa" w:w="100"/>
              <w:bottom w:type="dxa" w:w="80"/>
              <w:right w:type="dxa" w:w="100"/>
            </w:tcMar>
          </w:tcPr>
          <w:p>
            <w:r>
              <w:rPr>
                <w:sz w:val="19"/>
                <w:szCs w:val="19"/>
              </w:rPr>
              <w:t xml:space="preserve">Existing per-component win-rate lift report, exposed here alongside the rest.</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/position-size</w:t>
            </w:r>
          </w:p>
        </w:tc>
        <w:tc>
          <w:tcPr>
            <w:tcW w:type="dxa" w:w="6740"/>
            <w:tcMar>
              <w:top w:type="dxa" w:w="80"/>
              <w:left w:type="dxa" w:w="100"/>
              <w:bottom w:type="dxa" w:w="80"/>
              <w:right w:type="dxa" w:w="100"/>
            </w:tcMar>
          </w:tcPr>
          <w:p>
            <w:r>
              <w:rPr>
                <w:sz w:val="19"/>
                <w:szCs w:val="19"/>
              </w:rPr>
              <w:t xml:space="preserve">Pure arithmetic — capital / risk % / stop distance → position size and max dollar loss. Never places an order.</w:t>
            </w:r>
          </w:p>
        </w:tc>
      </w:tr>
    </w:tbl>
    <w:p>
      <w:pPr>
        <w:pStyle w:val="Heading2"/>
        <w:spacing w:after="120" w:before="300"/>
      </w:pPr>
      <w:r>
        <w:t xml:space="preserve">Pattern &amp; reliability</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EFE8D8" w:color="auto" w:val="clear"/>
            <w:tcMar>
              <w:top w:type="dxa" w:w="80"/>
              <w:left w:type="dxa" w:w="100"/>
              <w:bottom w:type="dxa" w:w="80"/>
              <w:right w:type="dxa" w:w="100"/>
            </w:tcMar>
          </w:tcPr>
          <w:p>
            <w:r>
              <w:rPr>
                <w:b/>
                <w:bCs/>
                <w:sz w:val="18"/>
                <w:szCs w:val="18"/>
              </w:rPr>
              <w:t xml:space="preserve">Endpoint</w:t>
            </w:r>
          </w:p>
        </w:tc>
        <w:tc>
          <w:tcPr>
            <w:tcW w:type="dxa" w:w="6740"/>
            <w:shd w:fill="EFE8D8" w:color="auto" w:val="clear"/>
            <w:tcMar>
              <w:top w:type="dxa" w:w="80"/>
              <w:left w:type="dxa" w:w="100"/>
              <w:bottom w:type="dxa" w:w="80"/>
              <w:right w:type="dxa" w:w="100"/>
            </w:tcMar>
          </w:tcPr>
          <w:p>
            <w:r>
              <w:rPr>
                <w:b/>
                <w:bCs/>
                <w:sz w:val="18"/>
                <w:szCs w:val="18"/>
              </w:rPr>
              <w:t xml:space="preserve">What it returns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/failure-patterns</w:t>
            </w:r>
          </w:p>
        </w:tc>
        <w:tc>
          <w:tcPr>
            <w:tcW w:type="dxa" w:w="6740"/>
            <w:tcMar>
              <w:top w:type="dxa" w:w="80"/>
              <w:left w:type="dxa" w:w="100"/>
              <w:bottom w:type="dxa" w:w="80"/>
              <w:right w:type="dxa" w:w="100"/>
            </w:tcMar>
          </w:tcPr>
          <w:p>
            <w:r>
              <w:rPr>
                <w:sz w:val="19"/>
                <w:szCs w:val="19"/>
              </w:rPr>
              <w:t xml:space="preserve">Every resolved loss classified into a lifecycle pattern plus risk tags — only patterns with real occurrences are ever reported.</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/coin-reliability</w:t>
            </w:r>
          </w:p>
        </w:tc>
        <w:tc>
          <w:tcPr>
            <w:tcW w:type="dxa" w:w="6740"/>
            <w:tcMar>
              <w:top w:type="dxa" w:w="80"/>
              <w:left w:type="dxa" w:w="100"/>
              <w:bottom w:type="dxa" w:w="80"/>
              <w:right w:type="dxa" w:w="100"/>
            </w:tcMar>
          </w:tcPr>
          <w:p>
            <w:r>
              <w:rPr>
                <w:sz w:val="19"/>
                <w:szCs w:val="19"/>
              </w:rPr>
              <w:t xml:space="preserve">Bayesian-shrunk (Beta-Binomial) per-symbol reliability score — a 100%-on-2-trades symbol shrinks toward the pooled rate instead of looking falsely excellent.</w:t>
            </w:r>
          </w:p>
        </w:tc>
      </w:tr>
    </w:tbl>
    <w:p>
      <w:pPr>
        <w:pStyle w:val="Heading2"/>
        <w:spacing w:after="120" w:before="300"/>
      </w:pPr>
      <w:r>
        <w:t xml:space="preserve">Trade intelligence &amp; explainability</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EFE8D8" w:color="auto" w:val="clear"/>
            <w:tcMar>
              <w:top w:type="dxa" w:w="80"/>
              <w:left w:type="dxa" w:w="100"/>
              <w:bottom w:type="dxa" w:w="80"/>
              <w:right w:type="dxa" w:w="100"/>
            </w:tcMar>
          </w:tcPr>
          <w:p>
            <w:r>
              <w:rPr>
                <w:b/>
                <w:bCs/>
                <w:sz w:val="18"/>
                <w:szCs w:val="18"/>
              </w:rPr>
              <w:t xml:space="preserve">Endpoint</w:t>
            </w:r>
          </w:p>
        </w:tc>
        <w:tc>
          <w:tcPr>
            <w:tcW w:type="dxa" w:w="6740"/>
            <w:shd w:fill="EFE8D8" w:color="auto" w:val="clear"/>
            <w:tcMar>
              <w:top w:type="dxa" w:w="80"/>
              <w:left w:type="dxa" w:w="100"/>
              <w:bottom w:type="dxa" w:w="80"/>
              <w:right w:type="dxa" w:w="100"/>
            </w:tcMar>
          </w:tcPr>
          <w:p>
            <w:r>
              <w:rPr>
                <w:b/>
                <w:bCs/>
                <w:sz w:val="18"/>
                <w:szCs w:val="18"/>
              </w:rPr>
              <w:t xml:space="preserve">What it returns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/trade-quality/{id}</w:t>
            </w:r>
          </w:p>
        </w:tc>
        <w:tc>
          <w:tcPr>
            <w:tcW w:type="dxa" w:w="6740"/>
            <w:tcMar>
              <w:top w:type="dxa" w:w="80"/>
              <w:left w:type="dxa" w:w="100"/>
              <w:bottom w:type="dxa" w:w="80"/>
              <w:right w:type="dxa" w:w="100"/>
            </w:tcMar>
          </w:tcPr>
          <w:p>
            <w:r>
              <w:rPr>
                <w:sz w:val="19"/>
                <w:szCs w:val="19"/>
              </w:rPr>
              <w:t xml:space="preserve">0–100 composite: 30% entry quality + 20% EV + 15% reliability + 15% calibration + 10% structure + 10% (inverted red flags). Fixed formula, not ML-tuned.</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/confidence-display</w:t>
            </w:r>
          </w:p>
        </w:tc>
        <w:tc>
          <w:tcPr>
            <w:tcW w:type="dxa" w:w="6740"/>
            <w:tcMar>
              <w:top w:type="dxa" w:w="80"/>
              <w:left w:type="dxa" w:w="100"/>
              <w:bottom w:type="dxa" w:w="80"/>
              <w:right w:type="dxa" w:w="100"/>
            </w:tcMar>
          </w:tcPr>
          <w:p>
            <w:r>
              <w:rPr>
                <w:sz w:val="19"/>
                <w:szCs w:val="19"/>
              </w:rPr>
              <w:t xml:space="preserve">“71 raw / 58 calibrated ±10%, n=22” — reliability-adjusted confidence with real uncertainty.</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/explain/{id}</w:t>
            </w:r>
          </w:p>
        </w:tc>
        <w:tc>
          <w:tcPr>
            <w:tcW w:type="dxa" w:w="6740"/>
            <w:tcMar>
              <w:top w:type="dxa" w:w="80"/>
              <w:left w:type="dxa" w:w="100"/>
              <w:bottom w:type="dxa" w:w="80"/>
              <w:right w:type="dxa" w:w="100"/>
            </w:tcMar>
          </w:tcPr>
          <w:p>
            <w:r>
              <w:rPr>
                <w:sz w:val="19"/>
                <w:szCs w:val="19"/>
              </w:rPr>
              <w:t xml:space="preserve">Karma Explain — bullish/risk evidence, historical similarity, reliability, EV, and (for open trades) an action plan. Pure synthesis, nothing new computed.</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/decision-audit</w:t>
            </w:r>
          </w:p>
        </w:tc>
        <w:tc>
          <w:tcPr>
            <w:tcW w:type="dxa" w:w="6740"/>
            <w:tcMar>
              <w:top w:type="dxa" w:w="80"/>
              <w:left w:type="dxa" w:w="100"/>
              <w:bottom w:type="dxa" w:w="80"/>
              <w:right w:type="dxa" w:w="100"/>
            </w:tcMar>
          </w:tcPr>
          <w:p>
            <w:r>
              <w:rPr>
                <w:sz w:val="19"/>
                <w:szCs w:val="19"/>
              </w:rPr>
              <w:t xml:space="preserve">accepted_because / rejected_checks / warnings per trade — reruns decision.py's own unmodified checklist against stored score breakdowns.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/strategy-attribution</w:t>
            </w:r>
          </w:p>
        </w:tc>
        <w:tc>
          <w:tcPr>
            <w:tcW w:type="dxa" w:w="6740"/>
            <w:tcMar>
              <w:top w:type="dxa" w:w="80"/>
              <w:left w:type="dxa" w:w="100"/>
              <w:bottom w:type="dxa" w:w="80"/>
              <w:right w:type="dxa" w:w="100"/>
            </w:tcMar>
          </w:tcPr>
          <w:p>
            <w:r>
              <w:rPr>
                <w:sz w:val="19"/>
                <w:szCs w:val="19"/>
              </w:rPr>
              <w:t xml:space="preserve">Classifies every trade into one strategy family (FVG continuation, breakout chase, mean reversion, EMA pullback, …) from already-stored fields.</w:t>
            </w:r>
          </w:p>
        </w:tc>
      </w:tr>
    </w:tbl>
    <w:p>
      <w:pPr>
        <w:pStyle w:val="Heading2"/>
        <w:spacing w:after="120" w:before="300"/>
      </w:pPr>
      <w:r>
        <w:t xml:space="preserve">Trading operating system (V3.2)</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EFE8D8" w:color="auto" w:val="clear"/>
            <w:tcMar>
              <w:top w:type="dxa" w:w="80"/>
              <w:left w:type="dxa" w:w="100"/>
              <w:bottom w:type="dxa" w:w="80"/>
              <w:right w:type="dxa" w:w="100"/>
            </w:tcMar>
          </w:tcPr>
          <w:p>
            <w:r>
              <w:rPr>
                <w:b/>
                <w:bCs/>
                <w:sz w:val="18"/>
                <w:szCs w:val="18"/>
              </w:rPr>
              <w:t xml:space="preserve">Endpoint</w:t>
            </w:r>
          </w:p>
        </w:tc>
        <w:tc>
          <w:tcPr>
            <w:tcW w:type="dxa" w:w="6740"/>
            <w:shd w:fill="EFE8D8" w:color="auto" w:val="clear"/>
            <w:tcMar>
              <w:top w:type="dxa" w:w="80"/>
              <w:left w:type="dxa" w:w="100"/>
              <w:bottom w:type="dxa" w:w="80"/>
              <w:right w:type="dxa" w:w="100"/>
            </w:tcMar>
          </w:tcPr>
          <w:p>
            <w:r>
              <w:rPr>
                <w:b/>
                <w:bCs/>
                <w:sz w:val="18"/>
                <w:szCs w:val="18"/>
              </w:rPr>
              <w:t xml:space="preserve">What it returns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/trade-truth, /trade-truth/{id}</w:t>
            </w:r>
          </w:p>
        </w:tc>
        <w:tc>
          <w:tcPr>
            <w:tcW w:type="dxa" w:w="6740"/>
            <w:tcMar>
              <w:top w:type="dxa" w:w="80"/>
              <w:left w:type="dxa" w:w="100"/>
              <w:bottom w:type="dxa" w:w="80"/>
              <w:right w:type="dxa" w:w="100"/>
            </w:tcMar>
          </w:tcPr>
          <w:p>
            <w:r>
              <w:rPr>
                <w:sz w:val="19"/>
                <w:szCs w:val="19"/>
              </w:rPr>
              <w:t xml:space="preserve">Trade Truth Engine — forensic verdicts beyond win/loss: perfect_trade, good_entry_bad_exit, bad_structure_call, infrastructure_failure, near_miss_early_stop, and more.</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/prediction-versions</w:t>
            </w:r>
          </w:p>
        </w:tc>
        <w:tc>
          <w:tcPr>
            <w:tcW w:type="dxa" w:w="6740"/>
            <w:tcMar>
              <w:top w:type="dxa" w:w="80"/>
              <w:left w:type="dxa" w:w="100"/>
              <w:bottom w:type="dxa" w:w="80"/>
              <w:right w:type="dxa" w:w="100"/>
            </w:tcMar>
          </w:tcPr>
          <w:p>
            <w:r>
              <w:rPr>
                <w:sz w:val="19"/>
                <w:szCs w:val="19"/>
              </w:rPr>
              <w:t xml:space="preserve">Win rate / PF grouped by prediction_version — the “did V4 outperform V3” question, ready once a version actually changes.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/market-health</w:t>
            </w:r>
          </w:p>
        </w:tc>
        <w:tc>
          <w:tcPr>
            <w:tcW w:type="dxa" w:w="6740"/>
            <w:tcMar>
              <w:top w:type="dxa" w:w="80"/>
              <w:left w:type="dxa" w:w="100"/>
              <w:bottom w:type="dxa" w:w="80"/>
              <w:right w:type="dxa" w:w="100"/>
            </w:tcMar>
          </w:tcPr>
          <w:p>
            <w:r>
              <w:rPr>
                <w:sz w:val="19"/>
                <w:szCs w:val="19"/>
              </w:rPr>
              <w:t xml:space="preserve">0–100 “is today worth trading” score from regime, breadth, Fear &amp; Greed, and today's scan breakdown.</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/portfolio-exposure</w:t>
            </w:r>
          </w:p>
        </w:tc>
        <w:tc>
          <w:tcPr>
            <w:tcW w:type="dxa" w:w="6740"/>
            <w:tcMar>
              <w:top w:type="dxa" w:w="80"/>
              <w:left w:type="dxa" w:w="100"/>
              <w:bottom w:type="dxa" w:w="80"/>
              <w:right w:type="dxa" w:w="100"/>
            </w:tcMar>
          </w:tcPr>
          <w:p>
            <w:r>
              <w:rPr>
                <w:sz w:val="19"/>
                <w:szCs w:val="19"/>
              </w:rPr>
              <w:t xml:space="preserve">Long/short balance, symbol-family concentration, and a suggested max additional trades — across currently open positions only.</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/daily-scorecard/morning</w:t>
            </w:r>
          </w:p>
        </w:tc>
        <w:tc>
          <w:tcPr>
            <w:tcW w:type="dxa" w:w="6740"/>
            <w:tcMar>
              <w:top w:type="dxa" w:w="80"/>
              <w:left w:type="dxa" w:w="100"/>
              <w:bottom w:type="dxa" w:w="80"/>
              <w:right w:type="dxa" w:w="100"/>
            </w:tcMar>
          </w:tcPr>
          <w:p>
            <w:r>
              <w:rPr>
                <w:sz w:val="19"/>
                <w:szCs w:val="19"/>
              </w:rPr>
              <w:t xml:space="preserve">Market health + 24h scanner funnel + portfolio health + top EV opportunities, assembled into one morning brief.</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/daily-scorecard/evening</w:t>
            </w:r>
          </w:p>
        </w:tc>
        <w:tc>
          <w:tcPr>
            <w:tcW w:type="dxa" w:w="6740"/>
            <w:tcMar>
              <w:top w:type="dxa" w:w="80"/>
              <w:left w:type="dxa" w:w="100"/>
              <w:bottom w:type="dxa" w:w="80"/>
              <w:right w:type="dxa" w:w="100"/>
            </w:tcMar>
          </w:tcPr>
          <w:p>
            <w:r>
              <w:rPr>
                <w:sz w:val="19"/>
                <w:szCs w:val="19"/>
              </w:rPr>
              <w:t xml:space="preserve">Today's performance digest, truth-verdict breakdown, best/worst strategy.</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/missed-opportunity-status, -breakdown</w:t>
            </w:r>
          </w:p>
        </w:tc>
        <w:tc>
          <w:tcPr>
            <w:tcW w:type="dxa" w:w="6740"/>
            <w:tcMar>
              <w:top w:type="dxa" w:w="80"/>
              <w:left w:type="dxa" w:w="100"/>
              <w:bottom w:type="dxa" w:w="80"/>
              <w:right w:type="dxa" w:w="100"/>
            </w:tcMar>
          </w:tcPr>
          <w:p>
            <w:r>
              <w:rPr>
                <w:sz w:val="19"/>
                <w:szCs w:val="19"/>
              </w:rPr>
              <w:t xml:space="preserve">Recorder progress for rejected candidates' directional outcome — refuses to report a rate below 500 resolved rows.</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/trade-journal/{id}</w:t>
            </w:r>
          </w:p>
        </w:tc>
        <w:tc>
          <w:tcPr>
            <w:tcW w:type="dxa" w:w="6740"/>
            <w:tcMar>
              <w:top w:type="dxa" w:w="80"/>
              <w:left w:type="dxa" w:w="100"/>
              <w:bottom w:type="dxa" w:w="80"/>
              <w:right w:type="dxa" w:w="100"/>
            </w:tcMar>
          </w:tcPr>
          <w:p>
            <w:r>
              <w:rPr>
                <w:sz w:val="19"/>
                <w:szCs w:val="19"/>
              </w:rPr>
              <w:t xml:space="preserve">Strengths / mistakes / repeated pattern / analogue / recommendation — a journal entry synthesized from Karma Explain + Trade Truth.</w:t>
            </w:r>
          </w:p>
        </w:tc>
      </w:tr>
      <w:tr>
        <w:tc>
          <w:tcPr>
            <w:tcW w:type="dxa" w:w="2600"/>
            <w:tcMar>
              <w:top w:type="dxa" w:w="80"/>
              <w:left w:type="dxa" w:w="100"/>
              <w:bottom w:type="dxa" w:w="80"/>
              <w:right w:type="dxa" w:w="100"/>
            </w:tcMar>
          </w:tcPr>
          <w:p>
            <w:r>
              <w:rPr>
                <w:rFonts w:ascii="Consolas" w:cs="Consolas" w:eastAsia="Consolas" w:hAnsi="Consolas"/>
                <w:color w:val="9C6E2C"/>
                <w:sz w:val="18"/>
                <w:szCs w:val="18"/>
              </w:rPr>
              <w:t xml:space="preserve">GET /calibration-dashboard</w:t>
            </w:r>
          </w:p>
        </w:tc>
        <w:tc>
          <w:tcPr>
            <w:tcW w:type="dxa" w:w="6740"/>
            <w:tcMar>
              <w:top w:type="dxa" w:w="80"/>
              <w:left w:type="dxa" w:w="100"/>
              <w:bottom w:type="dxa" w:w="80"/>
              <w:right w:type="dxa" w:w="100"/>
            </w:tcMar>
          </w:tcPr>
          <w:p>
            <w:r>
              <w:rPr>
                <w:sz w:val="19"/>
                <w:szCs w:val="19"/>
              </w:rPr>
              <w:t xml:space="preserve">Confidence curve + Brier/ECE + TP-continuation calibration + EV calibration, in one payload.</w:t>
            </w:r>
          </w:p>
        </w:tc>
      </w:tr>
    </w:tbl>
    <w:p>
      <w:pPr>
        <w:pStyle w:val="Heading1"/>
        <w:spacing w:after="200" w:before="400"/>
      </w:pPr>
      <w:r>
        <w:t xml:space="preserve">3. Known Limitations — Disclosed, Not Hidden</w:t>
      </w:r>
    </w:p>
    <w:p>
      <w:pPr>
        <w:spacing w:after="200"/>
      </w:pPr>
      <w:r>
        <w:rPr>
          <w:i/>
          <w:iCs/>
          <w:color w:val="595959"/>
        </w:rPr>
        <w:t xml:space="preserve">Every proxy below exists because the real data doesn't: this project's own standing rule is to report “unavailable” rather than fabricate a plausible-looking number.</w:t>
      </w:r>
    </w:p>
    <w:p>
      <w:pPr>
        <w:pStyle w:val="ListParagraph"/>
        <w:numPr>
          <w:ilvl w:val="0"/>
          <w:numId w:val="2"/>
        </w:numPr>
        <w:spacing w:after="100"/>
      </w:pPr>
      <w:r>
        <w:rPr>
          <w:b/>
          <w:bCs/>
        </w:rPr>
        <w:t xml:space="preserve">BTC correlation — </w:t>
      </w:r>
      <w:r>
        <w:t xml:space="preserve">is a symbol-family concentration proxy, not a computed price correlation — only 6 symbols in the database have any OHLCV history at all.</w:t>
      </w:r>
    </w:p>
    <w:p>
      <w:pPr>
        <w:pStyle w:val="ListParagraph"/>
        <w:numPr>
          <w:ilvl w:val="0"/>
          <w:numId w:val="2"/>
        </w:numPr>
        <w:spacing w:after="100"/>
      </w:pPr>
      <w:r>
        <w:rPr>
          <w:b/>
          <w:bCs/>
        </w:rPr>
        <w:t xml:space="preserve">Volatility Quality &amp; News Stress — </w:t>
      </w:r>
      <w:r>
        <w:t xml:space="preserve">(Market Health components) are proxied via the average risk-penalty score and reported as unavailable, respectively — no aggregate ATR-percentile or pooled news-stress metric exists in this codebase yet.</w:t>
      </w:r>
    </w:p>
    <w:p>
      <w:pPr>
        <w:pStyle w:val="ListParagraph"/>
        <w:numPr>
          <w:ilvl w:val="0"/>
          <w:numId w:val="2"/>
        </w:numPr>
        <w:spacing w:after="100"/>
      </w:pPr>
      <w:r>
        <w:rPr>
          <w:b/>
          <w:bCs/>
        </w:rPr>
        <w:t xml:space="preserve">late_entry — </w:t>
      </w:r>
      <w:r>
        <w:t xml:space="preserve">exists in the Trade Truth taxonomy but structurally can't be assigned — entry_quality="late" blocks a new trade from ever being created in the first place.</w:t>
      </w:r>
    </w:p>
    <w:p>
      <w:pPr>
        <w:pStyle w:val="ListParagraph"/>
        <w:numPr>
          <w:ilvl w:val="0"/>
          <w:numId w:val="2"/>
        </w:numPr>
        <w:spacing w:after="100"/>
      </w:pPr>
      <w:r>
        <w:rPr>
          <w:b/>
          <w:bCs/>
        </w:rPr>
        <w:t xml:space="preserve">near_miss_early_stop — </w:t>
      </w:r>
      <w:r>
        <w:t xml:space="preserve">replaces a literal “stopped, then price hit TP1 anyway” verdict, which isn't observable — this app stops tracking price the moment a trade closes. The verdict instead reports how close price got (≥80% of the distance to TP1) before reversing.</w:t>
      </w:r>
    </w:p>
    <w:p>
      <w:pPr>
        <w:pStyle w:val="ListParagraph"/>
        <w:numPr>
          <w:ilvl w:val="0"/>
          <w:numId w:val="2"/>
        </w:numPr>
        <w:spacing w:after="100"/>
      </w:pPr>
      <w:r>
        <w:rPr>
          <w:b/>
          <w:bCs/>
        </w:rPr>
        <w:t xml:space="preserve">Order-block detection — </w:t>
      </w:r>
      <w:r>
        <w:t xml:space="preserve">doesn't exist anywhere in this codebase — only swing points, BOS, CHoCH, and FVG. Strategy Attribution and Decision Audit report this honestly rather than inferring a false match.</w:t>
      </w:r>
    </w:p>
    <w:p>
      <w:pPr>
        <w:pStyle w:val="ListParagraph"/>
        <w:numPr>
          <w:ilvl w:val="0"/>
          <w:numId w:val="2"/>
        </w:numPr>
        <w:spacing w:after="100"/>
      </w:pPr>
      <w:r>
        <w:rPr>
          <w:b/>
          <w:bCs/>
        </w:rPr>
        <w:t xml:space="preserve">Missed Opportunity — </w:t>
      </w:r>
      <w:r>
        <w:t xml:space="preserve">tracks directional price movement only, never a literal TP1/TP2/TP3 outcome — a rejected candidate never received Claude-generated levels to grade against.</w:t>
      </w:r>
    </w:p>
    <w:p>
      <w:pPr>
        <w:pStyle w:val="Heading1"/>
        <w:spacing w:after="200" w:before="400"/>
      </w:pPr>
      <w:r>
        <w:t xml:space="preserve">4. Build History</w:t>
      </w:r>
    </w:p>
    <w:p>
      <w:pPr>
        <w:spacing w:after="200"/>
      </w:pPr>
      <w:r>
        <w:rPr>
          <w:i/>
          <w:iCs/>
          <w:color w:val="595959"/>
        </w:rPr>
        <w:t xml:space="preserve">10 commits, each independently tested and verified against the frozen-file list before merging.</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EFE8D8" w:color="auto" w:val="clear"/>
            <w:tcMar>
              <w:top w:type="dxa" w:w="80"/>
              <w:left w:type="dxa" w:w="100"/>
              <w:bottom w:type="dxa" w:w="80"/>
              <w:right w:type="dxa" w:w="100"/>
            </w:tcMar>
          </w:tcPr>
          <w:p>
            <w:r>
              <w:rPr>
                <w:b/>
                <w:bCs/>
                <w:sz w:val="18"/>
                <w:szCs w:val="18"/>
              </w:rPr>
              <w:t xml:space="preserve">Commit</w:t>
            </w:r>
          </w:p>
        </w:tc>
        <w:tc>
          <w:tcPr>
            <w:tcW w:type="dxa" w:w="7740"/>
            <w:shd w:fill="EFE8D8" w:color="auto" w:val="clear"/>
            <w:tcMar>
              <w:top w:type="dxa" w:w="80"/>
              <w:left w:type="dxa" w:w="100"/>
              <w:bottom w:type="dxa" w:w="80"/>
              <w:right w:type="dxa" w:w="100"/>
            </w:tcMar>
          </w:tcPr>
          <w:p>
            <w:r>
              <w:rPr>
                <w:b/>
                <w:bCs/>
                <w:sz w:val="18"/>
                <w:szCs w:val="18"/>
              </w:rPr>
              <w:t xml:space="preserve">What shipped</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c511b3e</w:t>
            </w:r>
          </w:p>
        </w:tc>
        <w:tc>
          <w:tcPr>
            <w:tcW w:type="dxa" w:w="7740"/>
            <w:tcMar>
              <w:top w:type="dxa" w:w="80"/>
              <w:left w:type="dxa" w:w="100"/>
              <w:bottom w:type="dxa" w:w="80"/>
              <w:right w:type="dxa" w:w="100"/>
            </w:tcMar>
          </w:tcPr>
          <w:p>
            <w:r>
              <w:rPr>
                <w:sz w:val="19"/>
                <w:szCs w:val="19"/>
              </w:rPr>
              <w:t xml:space="preserve">V2.1-A — Expected Value engine (frequency tables, not a trained model)</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6bdfc1f</w:t>
            </w:r>
          </w:p>
        </w:tc>
        <w:tc>
          <w:tcPr>
            <w:tcW w:type="dxa" w:w="7740"/>
            <w:tcMar>
              <w:top w:type="dxa" w:w="80"/>
              <w:left w:type="dxa" w:w="100"/>
              <w:bottom w:type="dxa" w:w="80"/>
              <w:right w:type="dxa" w:w="100"/>
            </w:tcMar>
          </w:tcPr>
          <w:p>
            <w:r>
              <w:rPr>
                <w:sz w:val="19"/>
                <w:szCs w:val="19"/>
              </w:rPr>
              <w:t xml:space="preserve">V2.1-B — TP Continuation Engine / Trade Manager</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901580f</w:t>
            </w:r>
          </w:p>
        </w:tc>
        <w:tc>
          <w:tcPr>
            <w:tcW w:type="dxa" w:w="7740"/>
            <w:tcMar>
              <w:top w:type="dxa" w:w="80"/>
              <w:left w:type="dxa" w:w="100"/>
              <w:bottom w:type="dxa" w:w="80"/>
              <w:right w:type="dxa" w:w="100"/>
            </w:tcMar>
          </w:tcPr>
          <w:p>
            <w:r>
              <w:rPr>
                <w:sz w:val="19"/>
                <w:szCs w:val="19"/>
              </w:rPr>
              <w:t xml:space="preserve">V2.1-C — Score weight recalibration + Red Flag engine</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17b61ff</w:t>
            </w:r>
          </w:p>
        </w:tc>
        <w:tc>
          <w:tcPr>
            <w:tcW w:type="dxa" w:w="7740"/>
            <w:tcMar>
              <w:top w:type="dxa" w:w="80"/>
              <w:left w:type="dxa" w:w="100"/>
              <w:bottom w:type="dxa" w:w="80"/>
              <w:right w:type="dxa" w:w="100"/>
            </w:tcMar>
          </w:tcPr>
          <w:p>
            <w:r>
              <w:rPr>
                <w:sz w:val="19"/>
                <w:szCs w:val="19"/>
              </w:rPr>
              <w:t xml:space="preserve">V2.1-D — Confidence calibration</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e833491</w:t>
            </w:r>
          </w:p>
        </w:tc>
        <w:tc>
          <w:tcPr>
            <w:tcW w:type="dxa" w:w="7740"/>
            <w:tcMar>
              <w:top w:type="dxa" w:w="80"/>
              <w:left w:type="dxa" w:w="100"/>
              <w:bottom w:type="dxa" w:w="80"/>
              <w:right w:type="dxa" w:w="100"/>
            </w:tcMar>
          </w:tcPr>
          <w:p>
            <w:r>
              <w:rPr>
                <w:sz w:val="19"/>
                <w:szCs w:val="19"/>
              </w:rPr>
              <w:t xml:space="preserve">V2.1-E — Analytics dashboard additions</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d44bd96</w:t>
            </w:r>
          </w:p>
        </w:tc>
        <w:tc>
          <w:tcPr>
            <w:tcW w:type="dxa" w:w="7740"/>
            <w:tcMar>
              <w:top w:type="dxa" w:w="80"/>
              <w:left w:type="dxa" w:w="100"/>
              <w:bottom w:type="dxa" w:w="80"/>
              <w:right w:type="dxa" w:w="100"/>
            </w:tcMar>
          </w:tcPr>
          <w:p>
            <w:r>
              <w:rPr>
                <w:sz w:val="19"/>
                <w:szCs w:val="19"/>
              </w:rPr>
              <w:t xml:space="preserve">Reverted V2.1-C's scoring.py weights; replaced with a measurement-only report</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42c948d</w:t>
            </w:r>
          </w:p>
        </w:tc>
        <w:tc>
          <w:tcPr>
            <w:tcW w:type="dxa" w:w="7740"/>
            <w:tcMar>
              <w:top w:type="dxa" w:w="80"/>
              <w:left w:type="dxa" w:w="100"/>
              <w:bottom w:type="dxa" w:w="80"/>
              <w:right w:type="dxa" w:w="100"/>
            </w:tcMar>
          </w:tcPr>
          <w:p>
            <w:r>
              <w:rPr>
                <w:sz w:val="19"/>
                <w:szCs w:val="19"/>
              </w:rPr>
              <w:t xml:space="preserve">V3.0 — Failure Pattern Engine, Symbol Reliability, Position Sizing</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fa1d4e2</w:t>
            </w:r>
          </w:p>
        </w:tc>
        <w:tc>
          <w:tcPr>
            <w:tcW w:type="dxa" w:w="7740"/>
            <w:tcMar>
              <w:top w:type="dxa" w:w="80"/>
              <w:left w:type="dxa" w:w="100"/>
              <w:bottom w:type="dxa" w:w="80"/>
              <w:right w:type="dxa" w:w="100"/>
            </w:tcMar>
          </w:tcPr>
          <w:p>
            <w:r>
              <w:rPr>
                <w:sz w:val="19"/>
                <w:szCs w:val="19"/>
              </w:rPr>
              <w:t xml:space="preserve">V3.1 — Trade Quality Score, Karma Explain, Decision Audit, Strategy Attribution</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f96e47a</w:t>
            </w:r>
          </w:p>
        </w:tc>
        <w:tc>
          <w:tcPr>
            <w:tcW w:type="dxa" w:w="7740"/>
            <w:tcMar>
              <w:top w:type="dxa" w:w="80"/>
              <w:left w:type="dxa" w:w="100"/>
              <w:bottom w:type="dxa" w:w="80"/>
              <w:right w:type="dxa" w:w="100"/>
            </w:tcMar>
          </w:tcPr>
          <w:p>
            <w:r>
              <w:rPr>
                <w:sz w:val="19"/>
                <w:szCs w:val="19"/>
              </w:rPr>
              <w:t xml:space="preserve">V3.1 — Missed Opportunity recorder (recording only)</w:t>
            </w:r>
          </w:p>
        </w:tc>
      </w:tr>
      <w:tr>
        <w:tc>
          <w:tcPr>
            <w:tcW w:type="dxa" w:w="1600"/>
            <w:tcMar>
              <w:top w:type="dxa" w:w="80"/>
              <w:left w:type="dxa" w:w="100"/>
              <w:bottom w:type="dxa" w:w="80"/>
              <w:right w:type="dxa" w:w="100"/>
            </w:tcMar>
          </w:tcPr>
          <w:p>
            <w:r>
              <w:rPr>
                <w:rFonts w:ascii="Consolas" w:cs="Consolas" w:eastAsia="Consolas" w:hAnsi="Consolas"/>
                <w:color w:val="9C6E2C"/>
                <w:sz w:val="18"/>
                <w:szCs w:val="18"/>
              </w:rPr>
              <w:t xml:space="preserve">ffb009d</w:t>
            </w:r>
          </w:p>
        </w:tc>
        <w:tc>
          <w:tcPr>
            <w:tcW w:type="dxa" w:w="7740"/>
            <w:tcMar>
              <w:top w:type="dxa" w:w="80"/>
              <w:left w:type="dxa" w:w="100"/>
              <w:bottom w:type="dxa" w:w="80"/>
              <w:right w:type="dxa" w:w="100"/>
            </w:tcMar>
          </w:tcPr>
          <w:p>
            <w:r>
              <w:rPr>
                <w:sz w:val="19"/>
                <w:szCs w:val="19"/>
              </w:rPr>
              <w:t xml:space="preserve">V3.2 — Trade Truth, Prediction Metadata, Market Health, Portfolio Exposure, Daily Scorecard, Journal, Calibration Dashboard</w:t>
            </w:r>
          </w:p>
        </w:tc>
      </w:tr>
    </w:tbl>
    <w:p>
      <w:pPr>
        <w:spacing w:after="160"/>
      </w:pPr>
    </w:p>
    <w:p>
      <w:pPr>
        <w:spacing w:after="140"/>
      </w:pPr>
      <w:r>
        <w:t xml:space="preserve">Test coverage: 15 manual verification scripts (no pytest infra in this project) run against the real dev database using clearly-fake symbols, cleaning up after themselves. All passing as of the last commit.</w:t>
      </w:r>
    </w:p>
    <w:p>
      <w:pPr>
        <w:pStyle w:val="Heading1"/>
        <w:spacing w:after="200" w:before="400"/>
      </w:pPr>
      <w:r>
        <w:t xml:space="preserve">5. Running It Locally</w:t>
      </w:r>
    </w:p>
    <w:p>
      <w:pPr>
        <w:spacing w:after="60"/>
      </w:pPr>
      <w:r>
        <w:rPr>
          <w:rFonts w:ascii="Consolas" w:cs="Consolas" w:eastAsia="Consolas" w:hAnsi="Consolas"/>
          <w:sz w:val="19"/>
          <w:szCs w:val="19"/>
        </w:rPr>
        <w:t xml:space="preserve">Backend:</w:t>
      </w:r>
    </w:p>
    <w:p>
      <w:pPr>
        <w:spacing w:after="60"/>
      </w:pPr>
      <w:r>
        <w:rPr>
          <w:rFonts w:ascii="Consolas" w:cs="Consolas" w:eastAsia="Consolas" w:hAnsi="Consolas"/>
          <w:sz w:val="19"/>
          <w:szCs w:val="19"/>
        </w:rPr>
        <w:t xml:space="preserve">  cd backend</w:t>
      </w:r>
    </w:p>
    <w:p>
      <w:pPr>
        <w:spacing w:after="60"/>
      </w:pPr>
      <w:r>
        <w:rPr>
          <w:rFonts w:ascii="Consolas" w:cs="Consolas" w:eastAsia="Consolas" w:hAnsi="Consolas"/>
          <w:sz w:val="19"/>
          <w:szCs w:val="19"/>
        </w:rPr>
        <w:t xml:space="preserve">  .venv\Scripts\Activate.ps1</w:t>
      </w:r>
    </w:p>
    <w:p>
      <w:pPr>
        <w:spacing w:after="60"/>
      </w:pPr>
      <w:r>
        <w:rPr>
          <w:rFonts w:ascii="Consolas" w:cs="Consolas" w:eastAsia="Consolas" w:hAnsi="Consolas"/>
          <w:sz w:val="19"/>
          <w:szCs w:val="19"/>
        </w:rPr>
        <w:t xml:space="preserve">  uvicorn app.main:app --reload --port 8000</w:t>
      </w:r>
    </w:p>
    <w:p>
      <w:pPr>
        <w:spacing w:after="100"/>
      </w:pPr>
    </w:p>
    <w:p>
      <w:pPr>
        <w:spacing w:after="60"/>
      </w:pPr>
      <w:r>
        <w:rPr>
          <w:rFonts w:ascii="Consolas" w:cs="Consolas" w:eastAsia="Consolas" w:hAnsi="Consolas"/>
          <w:sz w:val="19"/>
          <w:szCs w:val="19"/>
        </w:rPr>
        <w:t xml:space="preserve">Frontend:</w:t>
      </w:r>
    </w:p>
    <w:p>
      <w:pPr>
        <w:spacing w:after="60"/>
      </w:pPr>
      <w:r>
        <w:rPr>
          <w:rFonts w:ascii="Consolas" w:cs="Consolas" w:eastAsia="Consolas" w:hAnsi="Consolas"/>
          <w:sz w:val="19"/>
          <w:szCs w:val="19"/>
        </w:rPr>
        <w:t xml:space="preserve">  cd frontend</w:t>
      </w:r>
    </w:p>
    <w:p>
      <w:pPr>
        <w:spacing w:after="60"/>
      </w:pPr>
      <w:r>
        <w:rPr>
          <w:rFonts w:ascii="Consolas" w:cs="Consolas" w:eastAsia="Consolas" w:hAnsi="Consolas"/>
          <w:sz w:val="19"/>
          <w:szCs w:val="19"/>
        </w:rPr>
        <w:t xml:space="preserve">  npm run dev</w:t>
      </w:r>
    </w:p>
    <w:p>
      <w:pPr>
        <w:spacing w:after="100"/>
      </w:pPr>
    </w:p>
    <w:p>
      <w:pPr>
        <w:spacing w:after="60"/>
      </w:pPr>
      <w:r>
        <w:rPr>
          <w:rFonts w:ascii="Consolas" w:cs="Consolas" w:eastAsia="Consolas" w:hAnsi="Consolas"/>
          <w:sz w:val="19"/>
          <w:szCs w:val="19"/>
        </w:rPr>
        <w:t xml:space="preserve">Interactive API docs:  http://localhost:8000/docs</w:t>
      </w:r>
    </w:p>
    <w:p>
      <w:pPr>
        <w:spacing w:after="60"/>
      </w:pPr>
      <w:r>
        <w:rPr>
          <w:rFonts w:ascii="Consolas" w:cs="Consolas" w:eastAsia="Consolas" w:hAnsi="Consolas"/>
          <w:sz w:val="19"/>
          <w:szCs w:val="19"/>
        </w:rPr>
        <w:t xml:space="preserve">App:                   http://localhost:3000</w:t>
      </w:r>
    </w:p>
    <w:p>
      <w:pPr>
        <w:spacing w:before="400"/>
      </w:pPr>
    </w:p>
    <w:p>
      <w:pPr>
        <w:pBdr>
          <w:top w:val="single" w:color="D9D9D9" w:sz="6" w:space="8"/>
        </w:pBdr>
      </w:pPr>
      <w:r>
        <w:rPr>
          <w:color w:val="595959"/>
          <w:sz w:val="16"/>
          <w:szCs w:val="16"/>
        </w:rPr>
        <w:t xml:space="preserve">Karma Archive — backend reference · generated from the live codebase and commit history · crypto-terminal/backend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2026-09-12T07:26:43.060Z</dcterms:created>
  <dcterms:modified xsi:type="dcterms:W3CDTF">2026-09-12T07:26:43.061Z</dcterms:modified>
</cp:coreProperties>
</file>

<file path=docProps/custom.xml><?xml version="1.0" encoding="utf-8"?>
<Properties xmlns="http://schemas.openxmlformats.org/officeDocument/2006/custom-properties" xmlns:vt="http://schemas.openxmlformats.org/officeDocument/2006/docPropsVTypes"/>
</file>