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C2714F"/>
          <w:sz w:val="20"/>
          <w:szCs w:val="20"/>
        </w:rPr>
        <w:t xml:space="preserve">● ◆ ●  ROYAL RAJASTHANI RESIDENCE  ● ◆ ●</w:t>
      </w:r>
    </w:p>
    <w:p>
      <w:pPr>
        <w:pBdr>
          <w:top w:val="single" w:color="C8A97E" w:sz="6" w:space="10"/>
          <w:bottom w:val="single" w:color="C8A97E" w:sz="6" w:space="10"/>
        </w:pBdr>
        <w:spacing w:after="200" w:before="80"/>
        <w:jc w:val="center"/>
      </w:pPr>
      <w:r>
        <w:rPr>
          <w:rFonts w:ascii="Arial" w:cs="Arial" w:eastAsia="Arial" w:hAnsi="Arial"/>
          <w:b/>
          <w:bCs/>
          <w:color w:val="8B1A1A"/>
          <w:sz w:val="64"/>
          <w:szCs w:val="64"/>
        </w:rPr>
        <w:t xml:space="preserve">G+1 LUXURY RESIDENCE</w:t>
      </w:r>
    </w:p>
    <w:p>
      <w:pPr>
        <w:spacing w:after="80" w:before="160"/>
        <w:jc w:val="center"/>
      </w:pPr>
      <w:r>
        <w:rPr>
          <w:rFonts w:ascii="Arial" w:cs="Arial" w:eastAsia="Arial" w:hAnsi="Arial"/>
          <w:b/>
          <w:bCs/>
          <w:color w:val="6B3A2A"/>
          <w:sz w:val="36"/>
          <w:szCs w:val="36"/>
        </w:rPr>
        <w:t xml:space="preserve">COMPREHENSIVE PROJECT REPORT</w:t>
      </w:r>
    </w:p>
    <w:p>
      <w:pPr>
        <w:spacing w:after="60" w:before="60"/>
        <w:jc w:val="center"/>
      </w:pPr>
      <w:r>
        <w:rPr>
          <w:rFonts w:ascii="Arial" w:cs="Arial" w:eastAsia="Arial" w:hAnsi="Arial"/>
          <w:i/>
          <w:iCs/>
          <w:color w:val="555555"/>
          <w:sz w:val="22"/>
          <w:szCs w:val="22"/>
        </w:rPr>
        <w:t xml:space="preserve">Architectural Design  |  Structural Analysis  |  Vastu Compliance</w:t>
      </w:r>
    </w:p>
    <w:p>
      <w:pPr>
        <w:spacing w:after="80" w:before="80"/>
      </w:pPr>
      <w:r>
        <w:t xml:space="preserve"/>
      </w:r>
    </w:p>
    <w:p>
      <w:pPr>
        <w:spacing w:after="80" w:before="80"/>
      </w:pPr>
      <w:r>
        <w:t xml:space="preserve"/>
      </w:r>
    </w:p>
    <w:p>
      <w:pPr>
        <w:pBdr>
          <w:bottom w:val="single" w:color="C8A97E" w:sz="2" w:space="1"/>
        </w:pBdr>
        <w:spacing w:after="200" w:before="200"/>
      </w:pPr>
      <w:r>
        <w:t xml:space="preserve"/>
      </w:r>
    </w:p>
    <w:p>
      <w:pPr>
        <w:spacing w:after="80" w:before="80"/>
      </w:pPr>
      <w:r>
        <w:t xml:space="preserve"/>
      </w:r>
    </w:p>
    <w:p>
      <w:pPr>
        <w:spacing w:after="60" w:before="60"/>
        <w:jc w:val="center"/>
      </w:pPr>
      <w:r>
        <w:rPr>
          <w:rFonts w:ascii="Arial" w:cs="Arial" w:eastAsia="Arial" w:hAnsi="Arial"/>
          <w:b/>
          <w:bCs/>
          <w:color w:val="6B3A2A"/>
          <w:sz w:val="22"/>
          <w:szCs w:val="22"/>
        </w:rPr>
        <w:t xml:space="preserve">Project Owner:  </w:t>
      </w:r>
      <w:r>
        <w:rPr>
          <w:rFonts w:ascii="Arial" w:cs="Arial" w:eastAsia="Arial" w:hAnsi="Arial"/>
          <w:color w:val="1A1A1A"/>
          <w:sz w:val="22"/>
          <w:szCs w:val="22"/>
        </w:rPr>
        <w:t xml:space="preserve">Goutam</w:t>
      </w:r>
    </w:p>
    <w:p>
      <w:pPr>
        <w:spacing w:after="60" w:before="60"/>
        <w:jc w:val="center"/>
      </w:pPr>
      <w:r>
        <w:rPr>
          <w:rFonts w:ascii="Arial" w:cs="Arial" w:eastAsia="Arial" w:hAnsi="Arial"/>
          <w:b/>
          <w:bCs/>
          <w:color w:val="6B3A2A"/>
          <w:sz w:val="22"/>
          <w:szCs w:val="22"/>
        </w:rPr>
        <w:t xml:space="preserve">Location:  </w:t>
      </w:r>
      <w:r>
        <w:rPr>
          <w:rFonts w:ascii="Arial" w:cs="Arial" w:eastAsia="Arial" w:hAnsi="Arial"/>
          <w:color w:val="1A1A1A"/>
          <w:sz w:val="22"/>
          <w:szCs w:val="22"/>
        </w:rPr>
        <w:t xml:space="preserve">Rajasthan, India</w:t>
      </w:r>
    </w:p>
    <w:p>
      <w:pPr>
        <w:spacing w:after="60" w:before="60"/>
        <w:jc w:val="center"/>
      </w:pPr>
      <w:r>
        <w:rPr>
          <w:rFonts w:ascii="Arial" w:cs="Arial" w:eastAsia="Arial" w:hAnsi="Arial"/>
          <w:b/>
          <w:bCs/>
          <w:color w:val="6B3A2A"/>
          <w:sz w:val="22"/>
          <w:szCs w:val="22"/>
        </w:rPr>
        <w:t xml:space="preserve">Plot Dimensions:  </w:t>
      </w:r>
      <w:r>
        <w:rPr>
          <w:rFonts w:ascii="Arial" w:cs="Arial" w:eastAsia="Arial" w:hAnsi="Arial"/>
          <w:color w:val="1A1A1A"/>
          <w:sz w:val="22"/>
          <w:szCs w:val="22"/>
        </w:rPr>
        <w:t xml:space="preserve">20.0 m × 12.0 m  (East-Facing)</w:t>
      </w:r>
    </w:p>
    <w:p>
      <w:pPr>
        <w:spacing w:after="60" w:before="60"/>
        <w:jc w:val="center"/>
      </w:pPr>
      <w:r>
        <w:rPr>
          <w:rFonts w:ascii="Arial" w:cs="Arial" w:eastAsia="Arial" w:hAnsi="Arial"/>
          <w:b/>
          <w:bCs/>
          <w:color w:val="6B3A2A"/>
          <w:sz w:val="22"/>
          <w:szCs w:val="22"/>
        </w:rPr>
        <w:t xml:space="preserve">Built-up Area:  </w:t>
      </w:r>
      <w:r>
        <w:rPr>
          <w:rFonts w:ascii="Arial" w:cs="Arial" w:eastAsia="Arial" w:hAnsi="Arial"/>
          <w:color w:val="1A1A1A"/>
          <w:sz w:val="22"/>
          <w:szCs w:val="22"/>
        </w:rPr>
        <w:t xml:space="preserve">18.0 m × 10.0 m  (G+1 Structure)</w:t>
      </w:r>
    </w:p>
    <w:p>
      <w:pPr>
        <w:spacing w:after="60" w:before="60"/>
        <w:jc w:val="center"/>
      </w:pPr>
      <w:r>
        <w:rPr>
          <w:rFonts w:ascii="Arial" w:cs="Arial" w:eastAsia="Arial" w:hAnsi="Arial"/>
          <w:b/>
          <w:bCs/>
          <w:color w:val="6B3A2A"/>
          <w:sz w:val="22"/>
          <w:szCs w:val="22"/>
        </w:rPr>
        <w:t xml:space="preserve">Total FSI Area:  </w:t>
      </w:r>
      <w:r>
        <w:rPr>
          <w:rFonts w:ascii="Arial" w:cs="Arial" w:eastAsia="Arial" w:hAnsi="Arial"/>
          <w:color w:val="1A1A1A"/>
          <w:sz w:val="22"/>
          <w:szCs w:val="22"/>
        </w:rPr>
        <w:t xml:space="preserve">Approx. 360 sq.m (3,875 sq.ft)</w:t>
      </w:r>
    </w:p>
    <w:p>
      <w:pPr>
        <w:spacing w:after="60" w:before="60"/>
        <w:jc w:val="center"/>
      </w:pPr>
      <w:r>
        <w:rPr>
          <w:rFonts w:ascii="Arial" w:cs="Arial" w:eastAsia="Arial" w:hAnsi="Arial"/>
          <w:b/>
          <w:bCs/>
          <w:color w:val="6B3A2A"/>
          <w:sz w:val="22"/>
          <w:szCs w:val="22"/>
        </w:rPr>
        <w:t xml:space="preserve">Structure Type:  </w:t>
      </w:r>
      <w:r>
        <w:rPr>
          <w:rFonts w:ascii="Arial" w:cs="Arial" w:eastAsia="Arial" w:hAnsi="Arial"/>
          <w:color w:val="1A1A1A"/>
          <w:sz w:val="22"/>
          <w:szCs w:val="22"/>
        </w:rPr>
        <w:t xml:space="preserve">RCC Framed — Seismic Zone II / III</w:t>
      </w:r>
    </w:p>
    <w:p>
      <w:pPr>
        <w:spacing w:after="60" w:before="60"/>
        <w:jc w:val="center"/>
      </w:pPr>
      <w:r>
        <w:rPr>
          <w:rFonts w:ascii="Arial" w:cs="Arial" w:eastAsia="Arial" w:hAnsi="Arial"/>
          <w:b/>
          <w:bCs/>
          <w:color w:val="6B3A2A"/>
          <w:sz w:val="22"/>
          <w:szCs w:val="22"/>
        </w:rPr>
        <w:t xml:space="preserve">Structural Tool:  </w:t>
      </w:r>
      <w:r>
        <w:rPr>
          <w:rFonts w:ascii="Arial" w:cs="Arial" w:eastAsia="Arial" w:hAnsi="Arial"/>
          <w:color w:val="1A1A1A"/>
          <w:sz w:val="22"/>
          <w:szCs w:val="22"/>
        </w:rPr>
        <w:t xml:space="preserve">STAAD.Pro (IS Code Design)</w:t>
      </w:r>
    </w:p>
    <w:p>
      <w:pPr>
        <w:spacing w:after="60" w:before="60"/>
        <w:jc w:val="center"/>
      </w:pPr>
      <w:r>
        <w:rPr>
          <w:rFonts w:ascii="Arial" w:cs="Arial" w:eastAsia="Arial" w:hAnsi="Arial"/>
          <w:b/>
          <w:bCs/>
          <w:color w:val="6B3A2A"/>
          <w:sz w:val="22"/>
          <w:szCs w:val="22"/>
        </w:rPr>
        <w:t xml:space="preserve">Date:  </w:t>
      </w:r>
      <w:r>
        <w:rPr>
          <w:rFonts w:ascii="Arial" w:cs="Arial" w:eastAsia="Arial" w:hAnsi="Arial"/>
          <w:color w:val="1A1A1A"/>
          <w:sz w:val="22"/>
          <w:szCs w:val="22"/>
        </w:rPr>
        <w:t xml:space="preserve">June 2026</w:t>
      </w:r>
    </w:p>
    <w:p>
      <w:pPr>
        <w:spacing w:after="80" w:before="80"/>
      </w:pPr>
      <w:r>
        <w:t xml:space="preserve"/>
      </w:r>
    </w:p>
    <w:p>
      <w:pPr>
        <w:spacing w:after="80" w:before="80"/>
      </w:pPr>
      <w:r>
        <w:t xml:space="preserve"/>
      </w:r>
    </w:p>
    <w:p>
      <w:pPr>
        <w:pBdr>
          <w:bottom w:val="single" w:color="C8A97E" w:sz="2" w:space="1"/>
        </w:pBdr>
        <w:spacing w:after="200" w:before="200"/>
      </w:pPr>
      <w:r>
        <w:t xml:space="preserve"/>
      </w:r>
    </w:p>
    <w:p>
      <w:pPr>
        <w:spacing w:after="80" w:before="80"/>
      </w:pPr>
      <w:r>
        <w:t xml:space="preserve"/>
      </w:r>
    </w:p>
    <w:p>
      <w:pPr>
        <w:spacing w:after="60" w:before="60"/>
        <w:jc w:val="center"/>
      </w:pPr>
      <w:r>
        <w:rPr>
          <w:rFonts w:ascii="Arial" w:cs="Arial" w:eastAsia="Arial" w:hAnsi="Arial"/>
          <w:i/>
          <w:iCs/>
          <w:color w:val="555555"/>
          <w:sz w:val="18"/>
          <w:szCs w:val="18"/>
        </w:rPr>
        <w:t xml:space="preserve">Prepared with Vastu Shastra Compliance · Rajasthani Heritage Design · STAAD.Pro Structural Verification</w:t>
      </w:r>
    </w:p>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1. Executive Summary</w:t>
      </w:r>
    </w:p>
    <w:p>
      <w:pPr>
        <w:spacing w:after="120" w:before="80" w:line="300"/>
      </w:pPr>
      <w:r>
        <w:rPr>
          <w:rFonts w:ascii="Arial" w:cs="Arial" w:eastAsia="Arial" w:hAnsi="Arial"/>
          <w:color w:val="1A1A1A"/>
          <w:sz w:val="22"/>
          <w:szCs w:val="22"/>
        </w:rPr>
        <w:t xml:space="preserve">This report presents a comprehensive documentation of the G+1 Luxury Residence designed for Goutam at an east-facing plot in Rajasthan, India. The project integrates three overarching pillars: traditional Rajasthani vernacular architecture, rigorous Vastu Shastra spatial compliance, and modern structural engineering validated through STAAD.Pro analysis.</w:t>
      </w:r>
    </w:p>
    <w:p>
      <w:pPr>
        <w:spacing w:after="120" w:before="80" w:line="300"/>
      </w:pPr>
      <w:r>
        <w:rPr>
          <w:rFonts w:ascii="Arial" w:cs="Arial" w:eastAsia="Arial" w:hAnsi="Arial"/>
          <w:color w:val="1A1A1A"/>
          <w:sz w:val="22"/>
          <w:szCs w:val="22"/>
        </w:rPr>
        <w:t xml:space="preserve">The residence occupies a 20 m × 12 m plot with an 18 m × 10 m building footprint, yielding a two-storey structure of approximately 360 sq.m built-up area. The design celebrates the richness of Rajput–Mughal architectural heritage through Jharokha projecting bay windows, Jali perforated screens, Chajja stone sunshades, and a central Chowk (haveli-style open courtyard) that also doubles as the sacred Brahmasthan left free of structural load as prescribed by Vastu.</w:t>
      </w:r>
    </w:p>
    <w:p>
      <w:pPr>
        <w:spacing w:after="120" w:before="80" w:line="300"/>
      </w:pPr>
      <w:r>
        <w:rPr>
          <w:rFonts w:ascii="Arial" w:cs="Arial" w:eastAsia="Arial" w:hAnsi="Arial"/>
          <w:color w:val="1A1A1A"/>
          <w:sz w:val="22"/>
          <w:szCs w:val="22"/>
        </w:rPr>
        <w:t xml:space="preserve">A signature feature of this project is a concealed private study — a hidden room accessed exclusively through a full-height pivot bookshelf door (2.7 m × 1.2 m), adding a layer of exclusivity and intrigue befitting a luxury estate.</w:t>
      </w:r>
    </w:p>
    <w:p>
      <w:pPr>
        <w:spacing w:after="120" w:before="80" w:line="300"/>
      </w:pPr>
      <w:r>
        <w:rPr>
          <w:rFonts w:ascii="Arial" w:cs="Arial" w:eastAsia="Arial" w:hAnsi="Arial"/>
          <w:color w:val="1A1A1A"/>
          <w:sz w:val="22"/>
          <w:szCs w:val="22"/>
        </w:rPr>
        <w:t xml:space="preserve">The structural system is a reinforced concrete (RCC) framed structure designed to IS 456:2000, IS 1893:2016, and IS 875 (Parts 1–3), analysed and verified in STAAD.Pro. The project is situated in Seismic Zone II (with awareness of Zone III proximity) with wind speed parameters applicable to the Rajasthan region.</w:t>
      </w:r>
    </w:p>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2. Project Overview</w:t>
      </w:r>
    </w:p>
    <w:p>
      <w:pPr>
        <w:pStyle w:val="Heading2"/>
        <w:spacing w:after="140" w:before="280"/>
      </w:pPr>
      <w:r>
        <w:rPr>
          <w:rFonts w:ascii="Arial" w:cs="Arial" w:eastAsia="Arial" w:hAnsi="Arial"/>
          <w:b/>
          <w:bCs/>
          <w:color w:val="6B3A2A"/>
          <w:sz w:val="26"/>
          <w:szCs w:val="26"/>
        </w:rPr>
        <w:t xml:space="preserve">2.1  Site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55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Plot Location</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Rajasthan, India</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Plot Orientation</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East-Facing (primary entrance on east)</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Plot Dimensions</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20.0 m (N–S) × 12.0 m (E–W)</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Plot Area</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240 sq.m  (2,583 sq.ft)</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Topography</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Flat / gently sloped — typical Rajasthan terrain</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Soil Type</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Sandy loam with moderate bearing capacity (~150 kN/m²)</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Water Table</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Deep (&gt;5 m below GL) — typical of Rajasthan</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Seismic Zone</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Zone II (BIS IS 1893:2016)</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Wind Speed</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39 m/s basic wind speed (IS:875 Part 3)</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Climate Zone</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Hot &amp; Dry Semi-Arid — necessitates passive cooling strategies</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2.2  Building Dimensions &amp;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c>
          <w:tcPr>
            <w:tcW w:type="dxa" w:w="2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Footprint</w:t>
            </w:r>
          </w:p>
        </w:tc>
        <w:tc>
          <w:tcPr>
            <w:tcW w:type="dxa" w:w="1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Built-up Area</w:t>
            </w:r>
          </w:p>
        </w:tc>
        <w:tc>
          <w:tcPr>
            <w:tcW w:type="dxa" w:w="30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Ground Floor (G)</w:t>
            </w:r>
          </w:p>
        </w:tc>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18.0 × 10.0 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180 sq.m</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Includes courtyard opening</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First Floor (G+1)</w:t>
            </w:r>
          </w:p>
        </w:tc>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18.0 × 10.0 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180 sq.m</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With Jharokha projections</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Total Built-up Area</w:t>
            </w:r>
          </w:p>
        </w:tc>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360 sq.m</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~3,875 sq.ft</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Plot Coverage</w:t>
            </w:r>
          </w:p>
        </w:tc>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75%</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18×10 of 20×12 plot</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Set-back (East)</w:t>
            </w:r>
          </w:p>
        </w:tc>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1.0 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Entry forecourt / driveway</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Set-back (West)</w:t>
            </w:r>
          </w:p>
        </w:tc>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 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Service &amp; utility access</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Set-back (North)</w:t>
            </w:r>
          </w:p>
        </w:tc>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1.0 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Side passage</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Set-back (South)</w:t>
            </w:r>
          </w:p>
        </w:tc>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 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Side passage</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2.3  Project Objectives</w:t>
      </w:r>
    </w:p>
    <w:p>
      <w:pPr>
        <w:pStyle w:val="ListParagraph"/>
        <w:numPr>
          <w:ilvl w:val="0"/>
          <w:numId w:val="2"/>
        </w:numPr>
        <w:spacing w:after="60" w:before="60"/>
      </w:pPr>
      <w:r>
        <w:rPr>
          <w:rFonts w:ascii="Arial" w:cs="Arial" w:eastAsia="Arial" w:hAnsi="Arial"/>
          <w:color w:val="1A1A1A"/>
          <w:sz w:val="22"/>
          <w:szCs w:val="22"/>
        </w:rPr>
        <w:t xml:space="preserve">Design a Vastu-compliant G+1 luxury residence blending modern comfort with Rajasthani heritage.</w:t>
      </w:r>
    </w:p>
    <w:p>
      <w:pPr>
        <w:pStyle w:val="ListParagraph"/>
        <w:numPr>
          <w:ilvl w:val="0"/>
          <w:numId w:val="2"/>
        </w:numPr>
        <w:spacing w:after="60" w:before="60"/>
      </w:pPr>
      <w:r>
        <w:rPr>
          <w:rFonts w:ascii="Arial" w:cs="Arial" w:eastAsia="Arial" w:hAnsi="Arial"/>
          <w:color w:val="1A1A1A"/>
          <w:sz w:val="22"/>
          <w:szCs w:val="22"/>
        </w:rPr>
        <w:t xml:space="preserve">Maximise passive cooling through traditional architectural devices (Jali, Chajja, Chowk).</w:t>
      </w:r>
    </w:p>
    <w:p>
      <w:pPr>
        <w:pStyle w:val="ListParagraph"/>
        <w:numPr>
          <w:ilvl w:val="0"/>
          <w:numId w:val="2"/>
        </w:numPr>
        <w:spacing w:after="60" w:before="60"/>
      </w:pPr>
      <w:r>
        <w:rPr>
          <w:rFonts w:ascii="Arial" w:cs="Arial" w:eastAsia="Arial" w:hAnsi="Arial"/>
          <w:color w:val="1A1A1A"/>
          <w:sz w:val="22"/>
          <w:szCs w:val="22"/>
        </w:rPr>
        <w:t xml:space="preserve">Achieve structural safety in accordance with Indian Standards (BIS) verified by STAAD.Pro.</w:t>
      </w:r>
    </w:p>
    <w:p>
      <w:pPr>
        <w:pStyle w:val="ListParagraph"/>
        <w:numPr>
          <w:ilvl w:val="0"/>
          <w:numId w:val="2"/>
        </w:numPr>
        <w:spacing w:after="60" w:before="60"/>
      </w:pPr>
      <w:r>
        <w:rPr>
          <w:rFonts w:ascii="Arial" w:cs="Arial" w:eastAsia="Arial" w:hAnsi="Arial"/>
          <w:color w:val="1A1A1A"/>
          <w:sz w:val="22"/>
          <w:szCs w:val="22"/>
        </w:rPr>
        <w:t xml:space="preserve">Incorporate premium finishes and traditional materials — Jodhpur sandstone, lime plaster, teakwood.</w:t>
      </w:r>
    </w:p>
    <w:p>
      <w:pPr>
        <w:pStyle w:val="ListParagraph"/>
        <w:numPr>
          <w:ilvl w:val="0"/>
          <w:numId w:val="2"/>
        </w:numPr>
        <w:spacing w:after="60" w:before="60"/>
      </w:pPr>
      <w:r>
        <w:rPr>
          <w:rFonts w:ascii="Arial" w:cs="Arial" w:eastAsia="Arial" w:hAnsi="Arial"/>
          <w:color w:val="1A1A1A"/>
          <w:sz w:val="22"/>
          <w:szCs w:val="22"/>
        </w:rPr>
        <w:t xml:space="preserve">Create a distinctive private study with a concealed access mechanism (pivot bookshelf door).</w:t>
      </w:r>
    </w:p>
    <w:p>
      <w:pPr>
        <w:pStyle w:val="ListParagraph"/>
        <w:numPr>
          <w:ilvl w:val="0"/>
          <w:numId w:val="2"/>
        </w:numPr>
        <w:spacing w:after="60" w:before="60"/>
      </w:pPr>
      <w:r>
        <w:rPr>
          <w:rFonts w:ascii="Arial" w:cs="Arial" w:eastAsia="Arial" w:hAnsi="Arial"/>
          <w:color w:val="1A1A1A"/>
          <w:sz w:val="22"/>
          <w:szCs w:val="22"/>
        </w:rPr>
        <w:t xml:space="preserve">Ensure all functional zones align with Vastu Shastra directional prescriptions.</w:t>
      </w:r>
    </w:p>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3. Architectural Design</w:t>
      </w:r>
    </w:p>
    <w:p>
      <w:pPr>
        <w:pStyle w:val="Heading2"/>
        <w:spacing w:after="140" w:before="280"/>
      </w:pPr>
      <w:r>
        <w:rPr>
          <w:rFonts w:ascii="Arial" w:cs="Arial" w:eastAsia="Arial" w:hAnsi="Arial"/>
          <w:b/>
          <w:bCs/>
          <w:color w:val="6B3A2A"/>
          <w:sz w:val="26"/>
          <w:szCs w:val="26"/>
        </w:rPr>
        <w:t xml:space="preserve">3.1  Design Philosophy</w:t>
      </w:r>
    </w:p>
    <w:p>
      <w:pPr>
        <w:spacing w:after="120" w:before="80" w:line="300"/>
      </w:pPr>
      <w:r>
        <w:rPr>
          <w:rFonts w:ascii="Arial" w:cs="Arial" w:eastAsia="Arial" w:hAnsi="Arial"/>
          <w:color w:val="1A1A1A"/>
          <w:sz w:val="22"/>
          <w:szCs w:val="22"/>
        </w:rPr>
        <w:t xml:space="preserve">The design draws from the grand tradition of the Rajput haveli — an inward-looking, courtyard-centred dwelling that moderates the harsh Rajasthan climate while celebrating spatial hierarchy and ornamentation. This is reinterpreted for a contemporary luxury residence with open-plan living, modern bathrooms, and smart services, while retaining the soul of Rajasthani craftsmanship.</w:t>
      </w:r>
    </w:p>
    <w:p>
      <w:pPr>
        <w:spacing w:after="120" w:before="80" w:line="300"/>
      </w:pPr>
      <w:r>
        <w:rPr>
          <w:rFonts w:ascii="Arial" w:cs="Arial" w:eastAsia="Arial" w:hAnsi="Arial"/>
          <w:color w:val="1A1A1A"/>
          <w:sz w:val="22"/>
          <w:szCs w:val="22"/>
        </w:rPr>
        <w:t xml:space="preserve">Key design principles:</w:t>
      </w:r>
    </w:p>
    <w:p>
      <w:pPr>
        <w:pStyle w:val="ListParagraph"/>
        <w:numPr>
          <w:ilvl w:val="0"/>
          <w:numId w:val="2"/>
        </w:numPr>
        <w:spacing w:after="60" w:before="60"/>
      </w:pPr>
      <w:r>
        <w:rPr>
          <w:rFonts w:ascii="Arial" w:cs="Arial" w:eastAsia="Arial" w:hAnsi="Arial"/>
          <w:color w:val="1A1A1A"/>
          <w:sz w:val="22"/>
          <w:szCs w:val="22"/>
        </w:rPr>
        <w:t xml:space="preserve">Inward orientation — rooms face the central courtyard for natural light and ventilation.</w:t>
      </w:r>
    </w:p>
    <w:p>
      <w:pPr>
        <w:pStyle w:val="ListParagraph"/>
        <w:numPr>
          <w:ilvl w:val="0"/>
          <w:numId w:val="2"/>
        </w:numPr>
        <w:spacing w:after="60" w:before="60"/>
      </w:pPr>
      <w:r>
        <w:rPr>
          <w:rFonts w:ascii="Arial" w:cs="Arial" w:eastAsia="Arial" w:hAnsi="Arial"/>
          <w:color w:val="1A1A1A"/>
          <w:sz w:val="22"/>
          <w:szCs w:val="22"/>
        </w:rPr>
        <w:t xml:space="preserve">Layered privacy — public zones at the east/north, private zones in the south/west.</w:t>
      </w:r>
    </w:p>
    <w:p>
      <w:pPr>
        <w:pStyle w:val="ListParagraph"/>
        <w:numPr>
          <w:ilvl w:val="0"/>
          <w:numId w:val="2"/>
        </w:numPr>
        <w:spacing w:after="60" w:before="60"/>
      </w:pPr>
      <w:r>
        <w:rPr>
          <w:rFonts w:ascii="Arial" w:cs="Arial" w:eastAsia="Arial" w:hAnsi="Arial"/>
          <w:color w:val="1A1A1A"/>
          <w:sz w:val="22"/>
          <w:szCs w:val="22"/>
        </w:rPr>
        <w:t xml:space="preserve">Thermal mass — thick 230 mm masonry walls with lime plaster to buffer daytime heat.</w:t>
      </w:r>
    </w:p>
    <w:p>
      <w:pPr>
        <w:pStyle w:val="ListParagraph"/>
        <w:numPr>
          <w:ilvl w:val="0"/>
          <w:numId w:val="2"/>
        </w:numPr>
        <w:spacing w:after="60" w:before="60"/>
      </w:pPr>
      <w:r>
        <w:rPr>
          <w:rFonts w:ascii="Arial" w:cs="Arial" w:eastAsia="Arial" w:hAnsi="Arial"/>
          <w:color w:val="1A1A1A"/>
          <w:sz w:val="22"/>
          <w:szCs w:val="22"/>
        </w:rPr>
        <w:t xml:space="preserve">Vastu directionality — each room placed to align with its corresponding cosmic energy zone.</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3.2  Ground Floor Layout</w:t>
      </w:r>
    </w:p>
    <w:p>
      <w:pPr>
        <w:spacing w:after="120" w:before="80" w:line="300"/>
      </w:pPr>
      <w:r>
        <w:rPr>
          <w:rFonts w:ascii="Arial" w:cs="Arial" w:eastAsia="Arial" w:hAnsi="Arial"/>
          <w:color w:val="1A1A1A"/>
          <w:sz w:val="22"/>
          <w:szCs w:val="22"/>
        </w:rPr>
        <w:t xml:space="preserve">The ground floor is organised around a central open courtyard (Chowk) which serves as the Brahmasthan — the sacred central zone of the Vastu Purusha Mandala, left structurally unloaded and open to the sky.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26"/>
      </w:tblGrid>
      <w:tr>
        <w:tc>
          <w:tcPr>
            <w:tcW w:type="dxa" w:w="2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Room / Space</w:t>
            </w:r>
          </w:p>
        </w:tc>
        <w:tc>
          <w:tcPr>
            <w:tcW w:type="dxa" w:w="1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Vastu Zone</w:t>
            </w:r>
          </w:p>
        </w:tc>
        <w:tc>
          <w:tcPr>
            <w:tcW w:type="dxa" w:w="1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Approx. Area</w:t>
            </w:r>
          </w:p>
        </w:tc>
        <w:tc>
          <w:tcPr>
            <w:tcW w:type="dxa" w:w="28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Notes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Entry Porch &amp; Foyer</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East (Indra)</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12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Double-height gate, stone threshold</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Puja / Prayer Room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NE – Ishaan</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Deity faces east, floor below house avg.</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Living Room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North / East</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32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Open to courtyard, Jali screen on east</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Dining Room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West (Varun)</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Adjacent to kitchen for service flow</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Kitchen</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 – Agni</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16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Cooking faces east, sink to NE of kitchen</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Central Courtyard (Chowk)</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Centre – Brahma</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Open to sky, no structural load</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Common Toilet &amp; Bath</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NW – Vayu</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6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Single wet zone on GF</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Staircase</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SW–South</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Clockwise ascent, SW load-bearing zone</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Utility / Store</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NW–West</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8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Service entry from west</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Verandah / Sit-out</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North</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Jali screen, stone jaali railing</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3.3  First Floor Layout</w:t>
      </w:r>
    </w:p>
    <w:p>
      <w:pPr>
        <w:spacing w:after="120" w:before="80" w:line="300"/>
      </w:pPr>
      <w:r>
        <w:rPr>
          <w:rFonts w:ascii="Arial" w:cs="Arial" w:eastAsia="Arial" w:hAnsi="Arial"/>
          <w:color w:val="1A1A1A"/>
          <w:sz w:val="22"/>
          <w:szCs w:val="22"/>
        </w:rPr>
        <w:t xml:space="preserve">The first floor is the private domain of the family, with the master bedroom anchoring the southwest (Nairutya) zone for stability and rest, and guest and children's rooms distributed across the north and east zones.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26"/>
      </w:tblGrid>
      <w:tr>
        <w:tc>
          <w:tcPr>
            <w:tcW w:type="dxa" w:w="2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Room / Space</w:t>
            </w:r>
          </w:p>
        </w:tc>
        <w:tc>
          <w:tcPr>
            <w:tcW w:type="dxa" w:w="1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Vastu Zone</w:t>
            </w:r>
          </w:p>
        </w:tc>
        <w:tc>
          <w:tcPr>
            <w:tcW w:type="dxa" w:w="1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Approx. Area</w:t>
            </w:r>
          </w:p>
        </w:tc>
        <w:tc>
          <w:tcPr>
            <w:tcW w:type="dxa" w:w="28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Notes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Master Bedroom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SW – Nairutya</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28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Bed head to south wall</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Master Ensuite Bath</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SW–West</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Mirror on north/east wall only</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Master Wardrobe</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SW–South</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6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Walk-in, integrated storage</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Study / Library</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West–NW</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Houses hidden pivot bookshelf door</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Hidden Private Room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Adjacent to Study</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12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No exterior windows; ventilation shaft</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Guest Bedroom 1</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North–NW</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Jharokha window on north</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Guest Bedroom 2</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NE–North</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16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East-facing, morning light</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Common Bathroom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NW</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Shared bath for guest rooms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Open Terrace (Partial)</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East–NE</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18 sq.m</w:t>
            </w:r>
          </w:p>
        </w:tc>
        <w:tc>
          <w:tcPr>
            <w:tcW w:type="dxa" w:w="2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Overhanging Chajja, stone balustrade</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Corridor / Circulation</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Centre–East</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14 sq.m</w:t>
            </w:r>
          </w:p>
        </w:tc>
        <w:tc>
          <w:tcPr>
            <w:tcW w:type="dxa" w:w="2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Overlooks courtyard below</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3.4  Special Feature: Hidden Room &amp; Pivot Bookshelf Door</w:t>
      </w:r>
    </w:p>
    <w:p>
      <w:pPr>
        <w:spacing w:after="120" w:before="80" w:line="300"/>
      </w:pPr>
      <w:r>
        <w:rPr>
          <w:rFonts w:ascii="Arial" w:cs="Arial" w:eastAsia="Arial" w:hAnsi="Arial"/>
          <w:color w:val="1A1A1A"/>
          <w:sz w:val="22"/>
          <w:szCs w:val="22"/>
        </w:rPr>
        <w:t xml:space="preserve">One of the most distinctive elements of the design is a concealed private room off the study, accessible only through a full-height pivot bookshelf door — a device borrowed from classic English manor architecture and re-imagined within a Rajasthani haveli context.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55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Door Type</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Full-height pivot bookshelf door</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Door Height</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2.70 m (floor to soffit)</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Door Width</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1.20 m (clear opening)</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Frame Material</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Seasoned teak wood frame with concealed pivot hardware</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Shelving</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7–8 teak shelves with dummy book spines (fixed)</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Trigger Mechanism</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Concealed push-latch or electronic lock behind a dummy book</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Room Ventilation</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Dedicated 150 mm × 150 mm vertical shaft to terrace level</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Natural Light</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None — zero exterior windows (by design, for privacy)</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Artificial Lighting</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Recessed LED with warm 2700K tone</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Acoustic Treatment</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Soft-furnishing wall panels for sound attenuation</w:t>
            </w:r>
          </w:p>
        </w:tc>
      </w:tr>
    </w:tbl>
    <w:p>
      <w:pPr>
        <w:spacing w:after="80" w:before="80"/>
      </w:pPr>
      <w:r>
        <w:t xml:space="preserve"/>
      </w:r>
    </w:p>
    <w:p>
      <w:pPr>
        <w:spacing w:after="120" w:before="80" w:line="300"/>
      </w:pPr>
      <w:r>
        <w:rPr>
          <w:rFonts w:ascii="Arial" w:cs="Arial" w:eastAsia="Arial" w:hAnsi="Arial"/>
          <w:color w:val="1A1A1A"/>
          <w:sz w:val="22"/>
          <w:szCs w:val="22"/>
        </w:rPr>
        <w:t xml:space="preserve">The hidden room is positioned such that its ventilation shaft rises within the masonry wall thickness, terminating at a discreet perforated stone cover at terrace parapet level. No structural openings are exposed to the exterior, preserving the secret nature of the space.</w:t>
      </w:r>
    </w:p>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4. Rajasthani Architectural Elements</w:t>
      </w:r>
    </w:p>
    <w:p>
      <w:pPr>
        <w:spacing w:after="120" w:before="80" w:line="300"/>
      </w:pPr>
      <w:r>
        <w:rPr>
          <w:rFonts w:ascii="Arial" w:cs="Arial" w:eastAsia="Arial" w:hAnsi="Arial"/>
          <w:color w:val="1A1A1A"/>
          <w:sz w:val="22"/>
          <w:szCs w:val="22"/>
        </w:rPr>
        <w:t xml:space="preserve">The residence draws deeply from the Rajput–Mughal design vocabulary of Rajasthan, ensuring that every facade element, material choice, and spatial gesture is rooted in regional identity.</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4.1  Jharokha (Projecting Bay Windows)</w:t>
      </w:r>
    </w:p>
    <w:p>
      <w:pPr>
        <w:spacing w:after="120" w:before="80" w:line="300"/>
      </w:pPr>
      <w:r>
        <w:rPr>
          <w:rFonts w:ascii="Arial" w:cs="Arial" w:eastAsia="Arial" w:hAnsi="Arial"/>
          <w:color w:val="1A1A1A"/>
          <w:sz w:val="22"/>
          <w:szCs w:val="22"/>
        </w:rPr>
        <w:t xml:space="preserve">Jharokhas are cantilevered balcony–window elements that project from the facade plane, providing shade, ventilation, and visual interest. In this design, three Jharokhas are proposed on the first floor:</w:t>
      </w:r>
    </w:p>
    <w:p>
      <w:pPr>
        <w:pStyle w:val="ListParagraph"/>
        <w:numPr>
          <w:ilvl w:val="0"/>
          <w:numId w:val="2"/>
        </w:numPr>
        <w:spacing w:after="60" w:before="60"/>
      </w:pPr>
      <w:r>
        <w:rPr>
          <w:rFonts w:ascii="Arial" w:cs="Arial" w:eastAsia="Arial" w:hAnsi="Arial"/>
          <w:color w:val="1A1A1A"/>
          <w:sz w:val="22"/>
          <w:szCs w:val="22"/>
        </w:rPr>
        <w:t xml:space="preserve">North facade — 1.2 m projection, carved sandstone corbel brackets, jaali infill panels.</w:t>
      </w:r>
    </w:p>
    <w:p>
      <w:pPr>
        <w:pStyle w:val="ListParagraph"/>
        <w:numPr>
          <w:ilvl w:val="0"/>
          <w:numId w:val="2"/>
        </w:numPr>
        <w:spacing w:after="60" w:before="60"/>
      </w:pPr>
      <w:r>
        <w:rPr>
          <w:rFonts w:ascii="Arial" w:cs="Arial" w:eastAsia="Arial" w:hAnsi="Arial"/>
          <w:color w:val="1A1A1A"/>
          <w:sz w:val="22"/>
          <w:szCs w:val="22"/>
        </w:rPr>
        <w:t xml:space="preserve">East facade — primary street-facing Jharokha with ornate bracket work and cusped arch.</w:t>
      </w:r>
    </w:p>
    <w:p>
      <w:pPr>
        <w:pStyle w:val="ListParagraph"/>
        <w:numPr>
          <w:ilvl w:val="0"/>
          <w:numId w:val="2"/>
        </w:numPr>
        <w:spacing w:after="60" w:before="60"/>
      </w:pPr>
      <w:r>
        <w:rPr>
          <w:rFonts w:ascii="Arial" w:cs="Arial" w:eastAsia="Arial" w:hAnsi="Arial"/>
          <w:color w:val="1A1A1A"/>
          <w:sz w:val="22"/>
          <w:szCs w:val="22"/>
        </w:rPr>
        <w:t xml:space="preserve">West facade — a smaller service Jharokha over the dining area window.</w:t>
      </w:r>
    </w:p>
    <w:p>
      <w:pPr>
        <w:spacing w:after="120" w:before="80" w:line="300"/>
      </w:pPr>
      <w:r>
        <w:rPr>
          <w:rFonts w:ascii="Arial" w:cs="Arial" w:eastAsia="Arial" w:hAnsi="Arial"/>
          <w:color w:val="1A1A1A"/>
          <w:sz w:val="22"/>
          <w:szCs w:val="22"/>
        </w:rPr>
        <w:t xml:space="preserve">Each Jharokha projects 600–900 mm beyond the facade plane and is supported on RCC cantilever slabs with decorative sandstone cladding over the structural soffit.</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4.2  Jali (Perforated Stone / Terracotta Screens)</w:t>
      </w:r>
    </w:p>
    <w:p>
      <w:pPr>
        <w:spacing w:after="120" w:before="80" w:line="300"/>
      </w:pPr>
      <w:r>
        <w:rPr>
          <w:rFonts w:ascii="Arial" w:cs="Arial" w:eastAsia="Arial" w:hAnsi="Arial"/>
          <w:color w:val="1A1A1A"/>
          <w:sz w:val="22"/>
          <w:szCs w:val="22"/>
        </w:rPr>
        <w:t xml:space="preserve">Jali screens are the most thermally effective traditional device in the Rajasthani repertoire. As warm air rises through the courtyard, it draws cooler air inward through the perforated Jali panels, creating natural cross-ventilation.</w:t>
      </w:r>
    </w:p>
    <w:p>
      <w:pPr>
        <w:pStyle w:val="ListParagraph"/>
        <w:numPr>
          <w:ilvl w:val="0"/>
          <w:numId w:val="2"/>
        </w:numPr>
        <w:spacing w:after="60" w:before="60"/>
      </w:pPr>
      <w:r>
        <w:rPr>
          <w:rFonts w:ascii="Arial" w:cs="Arial" w:eastAsia="Arial" w:hAnsi="Arial"/>
          <w:color w:val="1A1A1A"/>
          <w:sz w:val="22"/>
          <w:szCs w:val="22"/>
        </w:rPr>
        <w:t xml:space="preserve">East verandah screen — Makrana marble Jali in floral geometric pattern, 40% open area.</w:t>
      </w:r>
    </w:p>
    <w:p>
      <w:pPr>
        <w:pStyle w:val="ListParagraph"/>
        <w:numPr>
          <w:ilvl w:val="0"/>
          <w:numId w:val="2"/>
        </w:numPr>
        <w:spacing w:after="60" w:before="60"/>
      </w:pPr>
      <w:r>
        <w:rPr>
          <w:rFonts w:ascii="Arial" w:cs="Arial" w:eastAsia="Arial" w:hAnsi="Arial"/>
          <w:color w:val="1A1A1A"/>
          <w:sz w:val="22"/>
          <w:szCs w:val="22"/>
        </w:rPr>
        <w:t xml:space="preserve">Central courtyard boundaries — terracotta Jali blocks in traditional jaali weave.</w:t>
      </w:r>
    </w:p>
    <w:p>
      <w:pPr>
        <w:pStyle w:val="ListParagraph"/>
        <w:numPr>
          <w:ilvl w:val="0"/>
          <w:numId w:val="2"/>
        </w:numPr>
        <w:spacing w:after="60" w:before="60"/>
      </w:pPr>
      <w:r>
        <w:rPr>
          <w:rFonts w:ascii="Arial" w:cs="Arial" w:eastAsia="Arial" w:hAnsi="Arial"/>
          <w:color w:val="1A1A1A"/>
          <w:sz w:val="22"/>
          <w:szCs w:val="22"/>
        </w:rPr>
        <w:t xml:space="preserve">Staircase skylight — perforated MS Jali in traditional jaali pattern over open stairwell.</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4.3  Chajja (Horizontal Stone Sunshades)</w:t>
      </w:r>
    </w:p>
    <w:p>
      <w:pPr>
        <w:spacing w:after="120" w:before="80" w:line="300"/>
      </w:pPr>
      <w:r>
        <w:rPr>
          <w:rFonts w:ascii="Arial" w:cs="Arial" w:eastAsia="Arial" w:hAnsi="Arial"/>
          <w:color w:val="1A1A1A"/>
          <w:sz w:val="22"/>
          <w:szCs w:val="22"/>
        </w:rPr>
        <w:t xml:space="preserve">Chajja are continuous horizontal stone projections above window and door openings that intercept high-angle summer sun while admitting low-angle winter sun — a passive solar device refined over centuries.</w:t>
      </w:r>
    </w:p>
    <w:p>
      <w:pPr>
        <w:pStyle w:val="ListParagraph"/>
        <w:numPr>
          <w:ilvl w:val="0"/>
          <w:numId w:val="2"/>
        </w:numPr>
        <w:spacing w:after="60" w:before="60"/>
      </w:pPr>
      <w:r>
        <w:rPr>
          <w:rFonts w:ascii="Arial" w:cs="Arial" w:eastAsia="Arial" w:hAnsi="Arial"/>
          <w:color w:val="1A1A1A"/>
          <w:sz w:val="22"/>
          <w:szCs w:val="22"/>
        </w:rPr>
        <w:t xml:space="preserve">Ground floor Chajja — 450 mm projection in Jodhpur buff sandstone over all windows.</w:t>
      </w:r>
    </w:p>
    <w:p>
      <w:pPr>
        <w:pStyle w:val="ListParagraph"/>
        <w:numPr>
          <w:ilvl w:val="0"/>
          <w:numId w:val="2"/>
        </w:numPr>
        <w:spacing w:after="60" w:before="60"/>
      </w:pPr>
      <w:r>
        <w:rPr>
          <w:rFonts w:ascii="Arial" w:cs="Arial" w:eastAsia="Arial" w:hAnsi="Arial"/>
          <w:color w:val="1A1A1A"/>
          <w:sz w:val="22"/>
          <w:szCs w:val="22"/>
        </w:rPr>
        <w:t xml:space="preserve">First floor Chajja — 600 mm projection, double-fascia detail with moulding at leading edge.</w:t>
      </w:r>
    </w:p>
    <w:p>
      <w:pPr>
        <w:pStyle w:val="ListParagraph"/>
        <w:numPr>
          <w:ilvl w:val="0"/>
          <w:numId w:val="2"/>
        </w:numPr>
        <w:spacing w:after="60" w:before="60"/>
      </w:pPr>
      <w:r>
        <w:rPr>
          <w:rFonts w:ascii="Arial" w:cs="Arial" w:eastAsia="Arial" w:hAnsi="Arial"/>
          <w:color w:val="1A1A1A"/>
          <w:sz w:val="22"/>
          <w:szCs w:val="22"/>
        </w:rPr>
        <w:t xml:space="preserve">Entry gate Chajja — ornate bracketed Chajja in carved sandstone forming a ceremonial canopy.</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4.4  Central Chowk (Open Courtyard)</w:t>
      </w:r>
    </w:p>
    <w:p>
      <w:pPr>
        <w:spacing w:after="120" w:before="80" w:line="300"/>
      </w:pPr>
      <w:r>
        <w:rPr>
          <w:rFonts w:ascii="Arial" w:cs="Arial" w:eastAsia="Arial" w:hAnsi="Arial"/>
          <w:color w:val="1A1A1A"/>
          <w:sz w:val="22"/>
          <w:szCs w:val="22"/>
        </w:rPr>
        <w:t xml:space="preserve">The open central courtyard, or Chowk, is the heart of the haveli typology. Spatially, it functions as a thermal chimney — warm air rises and escapes, pulling cool ground-level air through the surrounding rooms. Socially, it is the gathering space of the household.</w:t>
      </w:r>
    </w:p>
    <w:p>
      <w:pPr>
        <w:pStyle w:val="ListParagraph"/>
        <w:numPr>
          <w:ilvl w:val="0"/>
          <w:numId w:val="2"/>
        </w:numPr>
        <w:spacing w:after="60" w:before="60"/>
      </w:pPr>
      <w:r>
        <w:rPr>
          <w:rFonts w:ascii="Arial" w:cs="Arial" w:eastAsia="Arial" w:hAnsi="Arial"/>
          <w:color w:val="1A1A1A"/>
          <w:sz w:val="22"/>
          <w:szCs w:val="22"/>
        </w:rPr>
        <w:t xml:space="preserve">Dimensions: approximately 4.5 m × 4.5 m (net open sky area).</w:t>
      </w:r>
    </w:p>
    <w:p>
      <w:pPr>
        <w:pStyle w:val="ListParagraph"/>
        <w:numPr>
          <w:ilvl w:val="0"/>
          <w:numId w:val="2"/>
        </w:numPr>
        <w:spacing w:after="60" w:before="60"/>
      </w:pPr>
      <w:r>
        <w:rPr>
          <w:rFonts w:ascii="Arial" w:cs="Arial" w:eastAsia="Arial" w:hAnsi="Arial"/>
          <w:color w:val="1A1A1A"/>
          <w:sz w:val="22"/>
          <w:szCs w:val="22"/>
        </w:rPr>
        <w:t xml:space="preserve">Flooring: Kota stone with radial incised pattern converging at a central decorative medallion.</w:t>
      </w:r>
    </w:p>
    <w:p>
      <w:pPr>
        <w:pStyle w:val="ListParagraph"/>
        <w:numPr>
          <w:ilvl w:val="0"/>
          <w:numId w:val="2"/>
        </w:numPr>
        <w:spacing w:after="60" w:before="60"/>
      </w:pPr>
      <w:r>
        <w:rPr>
          <w:rFonts w:ascii="Arial" w:cs="Arial" w:eastAsia="Arial" w:hAnsi="Arial"/>
          <w:color w:val="1A1A1A"/>
          <w:sz w:val="22"/>
          <w:szCs w:val="22"/>
        </w:rPr>
        <w:t xml:space="preserve">Central feature: a small carved stone Tulsi planter with surrounding stone seating (chabutra).</w:t>
      </w:r>
    </w:p>
    <w:p>
      <w:pPr>
        <w:pStyle w:val="ListParagraph"/>
        <w:numPr>
          <w:ilvl w:val="0"/>
          <w:numId w:val="2"/>
        </w:numPr>
        <w:spacing w:after="60" w:before="60"/>
      </w:pPr>
      <w:r>
        <w:rPr>
          <w:rFonts w:ascii="Arial" w:cs="Arial" w:eastAsia="Arial" w:hAnsi="Arial"/>
          <w:color w:val="1A1A1A"/>
          <w:sz w:val="22"/>
          <w:szCs w:val="22"/>
        </w:rPr>
        <w:t xml:space="preserve">Perimeter: colonnade with turned stone or RCC columns with carved capital detailing.</w:t>
      </w:r>
    </w:p>
    <w:p>
      <w:pPr>
        <w:pStyle w:val="ListParagraph"/>
        <w:numPr>
          <w:ilvl w:val="0"/>
          <w:numId w:val="2"/>
        </w:numPr>
        <w:spacing w:after="60" w:before="60"/>
      </w:pPr>
      <w:r>
        <w:rPr>
          <w:rFonts w:ascii="Arial" w:cs="Arial" w:eastAsia="Arial" w:hAnsi="Arial"/>
          <w:color w:val="1A1A1A"/>
          <w:sz w:val="22"/>
          <w:szCs w:val="22"/>
        </w:rPr>
        <w:t xml:space="preserve">Rainwater: central drain to underground sump for water harvesting (first-flush diverter).</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4.5  Materials &amp;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c>
          <w:tcPr>
            <w:tcW w:type="dxa" w:w="2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3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Material</w:t>
            </w:r>
          </w:p>
        </w:tc>
        <w:tc>
          <w:tcPr>
            <w:tcW w:type="dxa" w:w="34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Finish / Colour</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External Walls</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Red/buff sandstone cladding over brick</w:t>
            </w:r>
          </w:p>
        </w:tc>
        <w:tc>
          <w:tcPr>
            <w:tcW w:type="dxa" w:w="34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Natural buff / honey tone</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Internal Wall Plaster</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Traditional lime (Kadappa) plaster</w:t>
            </w:r>
          </w:p>
        </w:tc>
        <w:tc>
          <w:tcPr>
            <w:tcW w:type="dxa" w:w="34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Warm white / off-white</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Flooring – Living</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Makrana white marble with inlay border</w:t>
            </w:r>
          </w:p>
        </w:tc>
        <w:tc>
          <w:tcPr>
            <w:tcW w:type="dxa" w:w="34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White with grey veining</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Flooring – Bedrooms</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Kota stone (polished)</w:t>
            </w:r>
          </w:p>
        </w:tc>
        <w:tc>
          <w:tcPr>
            <w:tcW w:type="dxa" w:w="34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Blue-grey, cool underfoot</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Flooring – Courtyard</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Kota stone (textured)</w:t>
            </w:r>
          </w:p>
        </w:tc>
        <w:tc>
          <w:tcPr>
            <w:tcW w:type="dxa" w:w="34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Natural grey-green</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Joinery – Doors</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Seasoned teak with iron hardware</w:t>
            </w:r>
          </w:p>
        </w:tc>
        <w:tc>
          <w:tcPr>
            <w:tcW w:type="dxa" w:w="34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Natural teak / dark iron</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Joinery – Windows</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Teak frames with jaali or louvres</w:t>
            </w:r>
          </w:p>
        </w:tc>
        <w:tc>
          <w:tcPr>
            <w:tcW w:type="dxa" w:w="34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Teak finish</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Columns &amp; Brackets</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Jodhpur sandstone (carved)</w:t>
            </w:r>
          </w:p>
        </w:tc>
        <w:tc>
          <w:tcPr>
            <w:tcW w:type="dxa" w:w="34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Buff / pale amber</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Coping &amp; Cornices</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Sandstone moulded profile</w:t>
            </w:r>
          </w:p>
        </w:tc>
        <w:tc>
          <w:tcPr>
            <w:tcW w:type="dxa" w:w="34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Buff to match cladding</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Roof Terrace</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Shahabad stone (anti-skid)</w:t>
            </w:r>
          </w:p>
        </w:tc>
        <w:tc>
          <w:tcPr>
            <w:tcW w:type="dxa" w:w="34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Dark grey</w:t>
            </w:r>
          </w:p>
        </w:tc>
      </w:tr>
    </w:tbl>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5. Vastu Shastra Compliance</w:t>
      </w:r>
    </w:p>
    <w:p>
      <w:pPr>
        <w:spacing w:after="120" w:before="80" w:line="300"/>
      </w:pPr>
      <w:r>
        <w:rPr>
          <w:rFonts w:ascii="Arial" w:cs="Arial" w:eastAsia="Arial" w:hAnsi="Arial"/>
          <w:color w:val="1A1A1A"/>
          <w:sz w:val="22"/>
          <w:szCs w:val="22"/>
        </w:rPr>
        <w:t xml:space="preserve">Vastu Shastra is an ancient Indian science of spatial arrangement that aligns built form with cosmological energy flows (Prana). The design rigorously follows the Vastu Purusha Mandala — an 8×8 or 9×9 grid superimposed on the plot — assigning functions to directional energy zones.</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5.1  Vastu Zone Assignments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026"/>
      </w:tblGrid>
      <w:tr>
        <w:tc>
          <w:tcPr>
            <w:tcW w:type="dxa" w:w="2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Direction</w:t>
            </w:r>
          </w:p>
        </w:tc>
        <w:tc>
          <w:tcPr>
            <w:tcW w:type="dxa" w:w="2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Deity / Energy</w:t>
            </w:r>
          </w:p>
        </w:tc>
        <w:tc>
          <w:tcPr>
            <w:tcW w:type="dxa" w:w="1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30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Assigned Function</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North (Uttara)</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Kuber – Wealth</w:t>
            </w:r>
          </w:p>
        </w:tc>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Water</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Living Room / Verandah</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NE (Ishaan)</w:t>
            </w:r>
          </w:p>
        </w:tc>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Shiva – Divine</w:t>
            </w:r>
          </w:p>
        </w:tc>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Water</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Puja Room</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East (Purva)</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Indra – Prosperity</w:t>
            </w:r>
          </w:p>
        </w:tc>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Air</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Main Entry / Foyer</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 (Agni)</w:t>
            </w:r>
          </w:p>
        </w:tc>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Agni – Fire</w:t>
            </w:r>
          </w:p>
        </w:tc>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Fire</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Kitchen</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South (Dakshina)</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Yama – Death</w:t>
            </w:r>
          </w:p>
        </w:tc>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Earth</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Staircase (south side)</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 (Nairutya)</w:t>
            </w:r>
          </w:p>
        </w:tc>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Nairutti – Demon</w:t>
            </w:r>
          </w:p>
        </w:tc>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Earth</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Master Bedroom (heaviest zone)</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West (Paschima)</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Varun – Water</w:t>
            </w:r>
          </w:p>
        </w:tc>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Water</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Dining Room</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NW (Vayavya)</w:t>
            </w:r>
          </w:p>
        </w:tc>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Vayu – Air</w:t>
            </w:r>
          </w:p>
        </w:tc>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Air</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Common Toilet / Utility</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Centre (Brahma)</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Brahma – Creation</w:t>
            </w:r>
          </w:p>
        </w:tc>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Ether</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Open Courtyard (unloaded)</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5.2  18-Point Vastu Compliance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4026"/>
      </w:tblGrid>
      <w:tr>
        <w:tc>
          <w:tcPr>
            <w:tcW w:type="dxa" w:w="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Vastu Requirement</w:t>
            </w:r>
          </w:p>
        </w:tc>
        <w:tc>
          <w:tcPr>
            <w:tcW w:type="dxa" w:w="1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40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Plot faces east (auspicious entry)</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East gate, east-facing foyer</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Main entrance in north or east zones</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East face, Indra zone</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Puja room in NE (Ishaan)</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NE corner, GF</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Kitchen in SE (Agni)</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 zone, cooking faces east</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Master bedroom in SW (Nairutya)</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SW corner, first floor</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Bed head toward south or east</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Head to south wall</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Toilets in NW or SW — avoid NE</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Common toilet NW only</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Staircase in south, SW or west</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SW–South zone</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9</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Brahmasthan open, no heavy load</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Open sky courtyard, no columns</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 beam directly over sleeping position</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Beam layout avoids bed projection</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11</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NE — keep open, light &amp; low</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Puja room, lowest room in plan</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SW &amp; south — heavier masses, higher walls</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Staircase &amp; master BR in SW</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13</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Main door does not face south</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East-facing entry</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14</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Underground sump in NE or north</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Rainwater sump NE courtyard</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15</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Overhead water tank in SW or west</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Proposed SW terrace corner</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16</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 cuts or extension in NE corner</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Plot is a regular rectangle</w:t>
            </w:r>
          </w:p>
        </w:tc>
      </w:tr>
      <w:tr>
        <w:tc>
          <w:tcPr>
            <w:tcW w:type="dxa" w:w="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17</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Open spaces larger on north and east</w:t>
            </w:r>
          </w:p>
        </w:tc>
        <w:tc>
          <w:tcPr>
            <w:tcW w:type="dxa" w:w="1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East set-back 1.5 m vs west 0.5 m</w:t>
            </w:r>
          </w:p>
        </w:tc>
      </w:tr>
      <w:tr>
        <w:tc>
          <w:tcPr>
            <w:tcW w:type="dxa" w:w="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Kitchen &amp; puja room not adjacent</w:t>
            </w:r>
          </w:p>
        </w:tc>
        <w:tc>
          <w:tcPr>
            <w:tcW w:type="dxa" w:w="1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PASS</w:t>
            </w:r>
          </w:p>
        </w:tc>
        <w:tc>
          <w:tcPr>
            <w:tcW w:type="dxa" w:w="4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Separated by living zone</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5.3  Brahmasthan Treatment</w:t>
      </w:r>
    </w:p>
    <w:p>
      <w:pPr>
        <w:spacing w:after="120" w:before="80" w:line="300"/>
      </w:pPr>
      <w:r>
        <w:rPr>
          <w:rFonts w:ascii="Arial" w:cs="Arial" w:eastAsia="Arial" w:hAnsi="Arial"/>
          <w:color w:val="1A1A1A"/>
          <w:sz w:val="22"/>
          <w:szCs w:val="22"/>
        </w:rPr>
        <w:t xml:space="preserve">The central zone of the Vastu Purusha Mandala — the Brahmasthan — is treated as a sacred open space. No structural column, wall, or permanent load is placed within a 1.5 m radius of the geometric centre of the building footprint (centre point: 9.0 m east, 5.0 m north of SW corner).</w:t>
      </w:r>
    </w:p>
    <w:p>
      <w:pPr>
        <w:spacing w:after="120" w:before="80" w:line="300"/>
      </w:pPr>
      <w:r>
        <w:rPr>
          <w:rFonts w:ascii="Arial" w:cs="Arial" w:eastAsia="Arial" w:hAnsi="Arial"/>
          <w:color w:val="1A1A1A"/>
          <w:sz w:val="22"/>
          <w:szCs w:val="22"/>
        </w:rPr>
        <w:t xml:space="preserve">The courtyard void in the centre is open to the sky, with a lightweight trellis of wrought iron at first-floor level as an optional semi-permanent element that may be removed. The surrounding columns are positioned at the perimeter of the courtyard, spanning clear of the Brahmasthan zone.</w:t>
      </w:r>
    </w:p>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6. Structural Design (STAAD.Pro Analysis)</w:t>
      </w:r>
    </w:p>
    <w:p>
      <w:pPr>
        <w:spacing w:after="120" w:before="80" w:line="300"/>
      </w:pPr>
      <w:r>
        <w:rPr>
          <w:rFonts w:ascii="Arial" w:cs="Arial" w:eastAsia="Arial" w:hAnsi="Arial"/>
          <w:color w:val="1A1A1A"/>
          <w:sz w:val="22"/>
          <w:szCs w:val="22"/>
        </w:rPr>
        <w:t xml:space="preserve">The structural system is a conventional reinforced concrete (RCC) framed structure. The structural design follows Indian Standard codes and has been verified using STAAD.Pro structural analysis software. All elements are designed for gravity loads, lateral (seismic) loads, and wind loads acting simultaneously in applicable combinations.</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6.1  Structural System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55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Primary Frame</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RCC moment-resisting frame (columns + beams)</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Floor System</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RCC flat slab + downstand beams at perimeter</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Lateral System</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Frame action (moment frame) — Seismic Zone II, IS 1893:2016</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Foundation Type</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Isolated column footings on hard stratum; plinth beam ties all</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Slab Spanning</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Two-way RCC slab (panels ≤ 5 m × 4 m)</w:t>
            </w:r>
          </w:p>
        </w:tc>
      </w:tr>
      <w:tr>
        <w:tc>
          <w:tcPr>
            <w:tcW w:type="dxa" w:w="3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Masonry Infill</w:t>
            </w:r>
          </w:p>
        </w:tc>
        <w:tc>
          <w:tcPr>
            <w:tcW w:type="dxa" w:w="55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230 mm fly-ash brick masonry (non-structural)</w:t>
            </w:r>
          </w:p>
        </w:tc>
      </w:tr>
      <w:tr>
        <w:tc>
          <w:tcPr>
            <w:tcW w:type="dxa" w:w="3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Staircase</w:t>
            </w:r>
          </w:p>
        </w:tc>
        <w:tc>
          <w:tcPr>
            <w:tcW w:type="dxa" w:w="55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RCC doglegged staircase — 1.2 m clear width</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6.2  Design Codes &amp; Standards</w:t>
      </w:r>
    </w:p>
    <w:p>
      <w:pPr>
        <w:pStyle w:val="ListParagraph"/>
        <w:numPr>
          <w:ilvl w:val="0"/>
          <w:numId w:val="2"/>
        </w:numPr>
        <w:spacing w:after="60" w:before="60"/>
      </w:pPr>
      <w:r>
        <w:rPr>
          <w:rFonts w:ascii="Arial" w:cs="Arial" w:eastAsia="Arial" w:hAnsi="Arial"/>
          <w:color w:val="1A1A1A"/>
          <w:sz w:val="22"/>
          <w:szCs w:val="22"/>
        </w:rPr>
        <w:t xml:space="preserve">IS 456:2000 — Plain &amp; Reinforced Concrete Code of Practice</w:t>
      </w:r>
    </w:p>
    <w:p>
      <w:pPr>
        <w:pStyle w:val="ListParagraph"/>
        <w:numPr>
          <w:ilvl w:val="0"/>
          <w:numId w:val="2"/>
        </w:numPr>
        <w:spacing w:after="60" w:before="60"/>
      </w:pPr>
      <w:r>
        <w:rPr>
          <w:rFonts w:ascii="Arial" w:cs="Arial" w:eastAsia="Arial" w:hAnsi="Arial"/>
          <w:color w:val="1A1A1A"/>
          <w:sz w:val="22"/>
          <w:szCs w:val="22"/>
        </w:rPr>
        <w:t xml:space="preserve">IS 1893 (Part 1):2016 — Criteria for Earthquake Resistant Design</w:t>
      </w:r>
    </w:p>
    <w:p>
      <w:pPr>
        <w:pStyle w:val="ListParagraph"/>
        <w:numPr>
          <w:ilvl w:val="0"/>
          <w:numId w:val="2"/>
        </w:numPr>
        <w:spacing w:after="60" w:before="60"/>
      </w:pPr>
      <w:r>
        <w:rPr>
          <w:rFonts w:ascii="Arial" w:cs="Arial" w:eastAsia="Arial" w:hAnsi="Arial"/>
          <w:color w:val="1A1A1A"/>
          <w:sz w:val="22"/>
          <w:szCs w:val="22"/>
        </w:rPr>
        <w:t xml:space="preserve">IS 875 (Part 1):1987 — Dead Loads</w:t>
      </w:r>
    </w:p>
    <w:p>
      <w:pPr>
        <w:pStyle w:val="ListParagraph"/>
        <w:numPr>
          <w:ilvl w:val="0"/>
          <w:numId w:val="2"/>
        </w:numPr>
        <w:spacing w:after="60" w:before="60"/>
      </w:pPr>
      <w:r>
        <w:rPr>
          <w:rFonts w:ascii="Arial" w:cs="Arial" w:eastAsia="Arial" w:hAnsi="Arial"/>
          <w:color w:val="1A1A1A"/>
          <w:sz w:val="22"/>
          <w:szCs w:val="22"/>
        </w:rPr>
        <w:t xml:space="preserve">IS 875 (Part 2):1987 — Imposed (Live) Loads</w:t>
      </w:r>
    </w:p>
    <w:p>
      <w:pPr>
        <w:pStyle w:val="ListParagraph"/>
        <w:numPr>
          <w:ilvl w:val="0"/>
          <w:numId w:val="2"/>
        </w:numPr>
        <w:spacing w:after="60" w:before="60"/>
      </w:pPr>
      <w:r>
        <w:rPr>
          <w:rFonts w:ascii="Arial" w:cs="Arial" w:eastAsia="Arial" w:hAnsi="Arial"/>
          <w:color w:val="1A1A1A"/>
          <w:sz w:val="22"/>
          <w:szCs w:val="22"/>
        </w:rPr>
        <w:t xml:space="preserve">IS 875 (Part 3):2015 — Wind Loads (Basic wind speed 39 m/s for Rajasthan)</w:t>
      </w:r>
    </w:p>
    <w:p>
      <w:pPr>
        <w:pStyle w:val="ListParagraph"/>
        <w:numPr>
          <w:ilvl w:val="0"/>
          <w:numId w:val="2"/>
        </w:numPr>
        <w:spacing w:after="60" w:before="60"/>
      </w:pPr>
      <w:r>
        <w:rPr>
          <w:rFonts w:ascii="Arial" w:cs="Arial" w:eastAsia="Arial" w:hAnsi="Arial"/>
          <w:color w:val="1A1A1A"/>
          <w:sz w:val="22"/>
          <w:szCs w:val="22"/>
        </w:rPr>
        <w:t xml:space="preserve">IS 2911 (Part 1):2010 — Design and Construction of Pile Foundations (reference only)</w:t>
      </w:r>
    </w:p>
    <w:p>
      <w:pPr>
        <w:pStyle w:val="ListParagraph"/>
        <w:numPr>
          <w:ilvl w:val="0"/>
          <w:numId w:val="2"/>
        </w:numPr>
        <w:spacing w:after="60" w:before="60"/>
      </w:pPr>
      <w:r>
        <w:rPr>
          <w:rFonts w:ascii="Arial" w:cs="Arial" w:eastAsia="Arial" w:hAnsi="Arial"/>
          <w:color w:val="1A1A1A"/>
          <w:sz w:val="22"/>
          <w:szCs w:val="22"/>
        </w:rPr>
        <w:t xml:space="preserve">SP 16:1980 — Design Aids for Reinforced Concrete to IS 456</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6.3  Materials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Material</w:t>
            </w:r>
          </w:p>
        </w:tc>
        <w:tc>
          <w:tcPr>
            <w:tcW w:type="dxa" w:w="2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Grade / Specification</w:t>
            </w:r>
          </w:p>
        </w:tc>
        <w:tc>
          <w:tcPr>
            <w:tcW w:type="dxa" w:w="32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Concrete — Columns/Beams</w:t>
            </w:r>
          </w:p>
        </w:tc>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M25 (fck = 25 N/mm²)</w:t>
            </w:r>
          </w:p>
        </w:tc>
        <w:tc>
          <w:tcPr>
            <w:tcW w:type="dxa" w:w="3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All structural members</w:t>
            </w:r>
          </w:p>
        </w:tc>
      </w:tr>
      <w:tr>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Concrete — Slabs</w:t>
            </w:r>
          </w:p>
        </w:tc>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M20 (fck = 20 N/mm²)</w:t>
            </w:r>
          </w:p>
        </w:tc>
        <w:tc>
          <w:tcPr>
            <w:tcW w:type="dxa" w:w="3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Floor &amp; roof slabs</w:t>
            </w:r>
          </w:p>
        </w:tc>
      </w:tr>
      <w:tr>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Concrete — Foundations</w:t>
            </w:r>
          </w:p>
        </w:tc>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M25</w:t>
            </w:r>
          </w:p>
        </w:tc>
        <w:tc>
          <w:tcPr>
            <w:tcW w:type="dxa" w:w="3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All footings &amp; plinth beam</w:t>
            </w:r>
          </w:p>
        </w:tc>
      </w:tr>
      <w:tr>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Reinforcement Steel</w:t>
            </w:r>
          </w:p>
        </w:tc>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Fe500D (HYSD bars)</w:t>
            </w:r>
          </w:p>
        </w:tc>
        <w:tc>
          <w:tcPr>
            <w:tcW w:type="dxa" w:w="3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All RCC elements</w:t>
            </w:r>
          </w:p>
        </w:tc>
      </w:tr>
      <w:tr>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Masonry</w:t>
            </w:r>
          </w:p>
        </w:tc>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Grade A fly-ash brick</w:t>
            </w:r>
          </w:p>
        </w:tc>
        <w:tc>
          <w:tcPr>
            <w:tcW w:type="dxa" w:w="3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Non-structural infill walls</w:t>
            </w:r>
          </w:p>
        </w:tc>
      </w:tr>
      <w:tr>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Mortar</w:t>
            </w:r>
          </w:p>
        </w:tc>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CM 1:6 (masonry)</w:t>
            </w:r>
          </w:p>
        </w:tc>
        <w:tc>
          <w:tcPr>
            <w:tcW w:type="dxa" w:w="3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Brickwork bedding</w:t>
            </w:r>
          </w:p>
        </w:tc>
      </w:tr>
      <w:tr>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Cover — Columns</w:t>
            </w:r>
          </w:p>
        </w:tc>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40 mm clear</w:t>
            </w:r>
          </w:p>
        </w:tc>
        <w:tc>
          <w:tcPr>
            <w:tcW w:type="dxa" w:w="3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As IS 456 Table 16</w:t>
            </w:r>
          </w:p>
        </w:tc>
      </w:tr>
      <w:tr>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Cover — Beams</w:t>
            </w:r>
          </w:p>
        </w:tc>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25 mm clear</w:t>
            </w:r>
          </w:p>
        </w:tc>
        <w:tc>
          <w:tcPr>
            <w:tcW w:type="dxa" w:w="3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As IS 456 Table 16</w:t>
            </w:r>
          </w:p>
        </w:tc>
      </w:tr>
      <w:tr>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Cover — Slabs</w:t>
            </w:r>
          </w:p>
        </w:tc>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20 mm clear</w:t>
            </w:r>
          </w:p>
        </w:tc>
        <w:tc>
          <w:tcPr>
            <w:tcW w:type="dxa" w:w="3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As IS 456 Table 16</w:t>
            </w:r>
          </w:p>
        </w:tc>
      </w:tr>
      <w:tr>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Cover — Foundations</w:t>
            </w:r>
          </w:p>
        </w:tc>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50 mm clear</w:t>
            </w:r>
          </w:p>
        </w:tc>
        <w:tc>
          <w:tcPr>
            <w:tcW w:type="dxa" w:w="3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Moderate exposure</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6.4  Column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1600"/>
        <w:gridCol w:w="1626"/>
      </w:tblGrid>
      <w:tr>
        <w:tc>
          <w:tcPr>
            <w:tcW w:type="dxa" w:w="1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 ID</w:t>
            </w:r>
          </w:p>
        </w:tc>
        <w:tc>
          <w:tcPr>
            <w:tcW w:type="dxa" w:w="2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1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 (b × D)</w:t>
            </w:r>
          </w:p>
        </w:tc>
        <w:tc>
          <w:tcPr>
            <w:tcW w:type="dxa" w:w="1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Main Steel</w:t>
            </w:r>
          </w:p>
        </w:tc>
        <w:tc>
          <w:tcPr>
            <w:tcW w:type="dxa" w:w="16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Lateral Ties</w:t>
            </w:r>
          </w:p>
        </w:tc>
      </w:tr>
      <w:tr>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C1 (Corner)</w:t>
            </w:r>
          </w:p>
        </w:tc>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All four corners</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300 × 300 mm</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8-16Ø</w:t>
            </w:r>
          </w:p>
        </w:tc>
        <w:tc>
          <w:tcPr>
            <w:tcW w:type="dxa" w:w="16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8Ø @ 150 c/c</w:t>
            </w:r>
          </w:p>
        </w:tc>
      </w:tr>
      <w:tr>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C2 (Edge)</w:t>
            </w:r>
          </w:p>
        </w:tc>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Mid-span perimeter</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230 × 400 mm</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6-16Ø</w:t>
            </w:r>
          </w:p>
        </w:tc>
        <w:tc>
          <w:tcPr>
            <w:tcW w:type="dxa" w:w="16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8Ø @ 150 c/c</w:t>
            </w:r>
          </w:p>
        </w:tc>
      </w:tr>
      <w:tr>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C3 (Internal)</w:t>
            </w:r>
          </w:p>
        </w:tc>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Interior grid columns</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 300 mm</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4-16Ø</w:t>
            </w:r>
          </w:p>
        </w:tc>
        <w:tc>
          <w:tcPr>
            <w:tcW w:type="dxa" w:w="16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8Ø @ 200 c/c</w:t>
            </w:r>
          </w:p>
        </w:tc>
      </w:tr>
      <w:tr>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C4 (Courtyard)</w:t>
            </w:r>
          </w:p>
        </w:tc>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Courtyard colonnade</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250 × 250 mm</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4-12Ø</w:t>
            </w:r>
          </w:p>
        </w:tc>
        <w:tc>
          <w:tcPr>
            <w:tcW w:type="dxa" w:w="16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8Ø @ 150 c/c</w:t>
            </w:r>
          </w:p>
        </w:tc>
      </w:tr>
      <w:tr>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C5 (Stair)</w:t>
            </w:r>
          </w:p>
        </w:tc>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Staircase enclosure</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 230 mm</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4-12Ø</w:t>
            </w:r>
          </w:p>
        </w:tc>
        <w:tc>
          <w:tcPr>
            <w:tcW w:type="dxa" w:w="16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8Ø @ 150 c/c</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6.5  Beam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600"/>
        <w:gridCol w:w="1226"/>
      </w:tblGrid>
      <w:tr>
        <w:tc>
          <w:tcPr>
            <w:tcW w:type="dxa" w:w="2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Beam Type</w:t>
            </w:r>
          </w:p>
        </w:tc>
        <w:tc>
          <w:tcPr>
            <w:tcW w:type="dxa" w:w="2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1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 (b × D)</w:t>
            </w:r>
          </w:p>
        </w:tc>
        <w:tc>
          <w:tcPr>
            <w:tcW w:type="dxa" w:w="1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Top Steel</w:t>
            </w:r>
          </w:p>
        </w:tc>
        <w:tc>
          <w:tcPr>
            <w:tcW w:type="dxa" w:w="12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Bottom Steel</w:t>
            </w:r>
          </w:p>
        </w:tc>
      </w:tr>
      <w:tr>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MB1 — Main</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Perimeter frames GF &amp; FF</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 400 mm</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2-16Ø + 1-12Ø</w:t>
            </w:r>
          </w:p>
        </w:tc>
        <w:tc>
          <w:tcPr>
            <w:tcW w:type="dxa" w:w="1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2-16Ø + 1-12Ø</w:t>
            </w:r>
          </w:p>
        </w:tc>
      </w:tr>
      <w:tr>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MB2 — Internal</w:t>
            </w:r>
          </w:p>
        </w:tc>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Interior cross beams</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230 × 350 mm</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2-16Ø</w:t>
            </w:r>
          </w:p>
        </w:tc>
        <w:tc>
          <w:tcPr>
            <w:tcW w:type="dxa" w:w="1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2-16Ø</w:t>
            </w:r>
          </w:p>
        </w:tc>
      </w:tr>
      <w:tr>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CB1 — Courtyard</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Courtyard edge beams</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 400 mm</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3-16Ø</w:t>
            </w:r>
          </w:p>
        </w:tc>
        <w:tc>
          <w:tcPr>
            <w:tcW w:type="dxa" w:w="1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2-16Ø</w:t>
            </w:r>
          </w:p>
        </w:tc>
      </w:tr>
      <w:tr>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PB1 — Plinth</w:t>
            </w:r>
          </w:p>
        </w:tc>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All columns at DPC level</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230 × 300 mm</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2-12Ø</w:t>
            </w:r>
          </w:p>
        </w:tc>
        <w:tc>
          <w:tcPr>
            <w:tcW w:type="dxa" w:w="1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2-12Ø</w:t>
            </w:r>
          </w:p>
        </w:tc>
      </w:tr>
      <w:tr>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LB1 — Lintel</w:t>
            </w:r>
          </w:p>
        </w:tc>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Over all openings ≥900 mm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 150 mm</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2-10Ø</w:t>
            </w:r>
          </w:p>
        </w:tc>
        <w:tc>
          <w:tcPr>
            <w:tcW w:type="dxa" w:w="1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2-10Ø</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6.6  Slab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300"/>
        <w:gridCol w:w="2200"/>
        <w:gridCol w:w="1026"/>
      </w:tblGrid>
      <w:tr>
        <w:tc>
          <w:tcPr>
            <w:tcW w:type="dxa" w:w="2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Slab</w:t>
            </w:r>
          </w:p>
        </w:tc>
        <w:tc>
          <w:tcPr>
            <w:tcW w:type="dxa" w:w="25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13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Thickness</w:t>
            </w:r>
          </w:p>
        </w:tc>
        <w:tc>
          <w:tcPr>
            <w:tcW w:type="dxa" w:w="2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Short Span Steel</w:t>
            </w:r>
          </w:p>
        </w:tc>
        <w:tc>
          <w:tcPr>
            <w:tcW w:type="dxa" w:w="10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Long Span Steel</w:t>
            </w:r>
          </w:p>
        </w:tc>
      </w:tr>
      <w:tr>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S1 — GF Slab</w:t>
            </w:r>
          </w:p>
        </w:tc>
        <w:tc>
          <w:tcPr>
            <w:tcW w:type="dxa" w:w="2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All ground floor panels</w:t>
            </w:r>
          </w:p>
        </w:tc>
        <w:tc>
          <w:tcPr>
            <w:tcW w:type="dxa" w:w="13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125 mm</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10Ø @ 150 (BW)</w:t>
            </w:r>
          </w:p>
        </w:tc>
        <w:tc>
          <w:tcPr>
            <w:tcW w:type="dxa" w:w="1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10Ø @ 175 (BW)</w:t>
            </w:r>
          </w:p>
        </w:tc>
      </w:tr>
      <w:tr>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S2 — FF Slab</w:t>
            </w:r>
          </w:p>
        </w:tc>
        <w:tc>
          <w:tcPr>
            <w:tcW w:type="dxa" w:w="2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All first-floor panels</w:t>
            </w:r>
          </w:p>
        </w:tc>
        <w:tc>
          <w:tcPr>
            <w:tcW w:type="dxa" w:w="13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150 mm</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10Ø @ 150 (BW)</w:t>
            </w:r>
          </w:p>
        </w:tc>
        <w:tc>
          <w:tcPr>
            <w:tcW w:type="dxa" w:w="1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10Ø @ 175 (BW)</w:t>
            </w:r>
          </w:p>
        </w:tc>
      </w:tr>
      <w:tr>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S3 — Roof Slab</w:t>
            </w:r>
          </w:p>
        </w:tc>
        <w:tc>
          <w:tcPr>
            <w:tcW w:type="dxa" w:w="2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Roof / terrace</w:t>
            </w:r>
          </w:p>
        </w:tc>
        <w:tc>
          <w:tcPr>
            <w:tcW w:type="dxa" w:w="13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150 mm</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10Ø @ 175 (BW)</w:t>
            </w:r>
          </w:p>
        </w:tc>
        <w:tc>
          <w:tcPr>
            <w:tcW w:type="dxa" w:w="1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10Ø @ 200 (BW)</w:t>
            </w:r>
          </w:p>
        </w:tc>
      </w:tr>
      <w:tr>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S4 — Cantilever</w:t>
            </w:r>
          </w:p>
        </w:tc>
        <w:tc>
          <w:tcPr>
            <w:tcW w:type="dxa" w:w="2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Chajja / Jharokha slab</w:t>
            </w:r>
          </w:p>
        </w:tc>
        <w:tc>
          <w:tcPr>
            <w:tcW w:type="dxa" w:w="13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150→100 mm tapered</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12Ø @ 100 (top)</w:t>
            </w:r>
          </w:p>
        </w:tc>
        <w:tc>
          <w:tcPr>
            <w:tcW w:type="dxa" w:w="1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r>
      <w:tr>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S5 — Stair Waist</w:t>
            </w:r>
          </w:p>
        </w:tc>
        <w:tc>
          <w:tcPr>
            <w:tcW w:type="dxa" w:w="2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Staircase flights</w:t>
            </w:r>
          </w:p>
        </w:tc>
        <w:tc>
          <w:tcPr>
            <w:tcW w:type="dxa" w:w="13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150 mm</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12Ø @ 150 (BW)</w:t>
            </w:r>
          </w:p>
        </w:tc>
        <w:tc>
          <w:tcPr>
            <w:tcW w:type="dxa" w:w="1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6.7  Foundation Design</w:t>
      </w:r>
    </w:p>
    <w:p>
      <w:pPr>
        <w:spacing w:after="120" w:before="80" w:line="300"/>
      </w:pPr>
      <w:r>
        <w:rPr>
          <w:rFonts w:ascii="Arial" w:cs="Arial" w:eastAsia="Arial" w:hAnsi="Arial"/>
          <w:color w:val="1A1A1A"/>
          <w:sz w:val="22"/>
          <w:szCs w:val="22"/>
        </w:rPr>
        <w:t xml:space="preserve">The foundation system consists of isolated spread footings under each column, connected by a continuous plinth beam at DPC level (300 mm above finished ground level). The assumed safe bearing capacity of the soil is 150 kN/m² at a depth of 1.2 m below ground level, consistent with sandy loam strata common in Rajasthan.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1800"/>
        <w:gridCol w:w="1026"/>
      </w:tblGrid>
      <w:tr>
        <w:tc>
          <w:tcPr>
            <w:tcW w:type="dxa" w:w="2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Foundation Type</w:t>
            </w:r>
          </w:p>
        </w:tc>
        <w:tc>
          <w:tcPr>
            <w:tcW w:type="dxa" w:w="2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 Group</w:t>
            </w:r>
          </w:p>
        </w:tc>
        <w:tc>
          <w:tcPr>
            <w:tcW w:type="dxa" w:w="1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 Size</w:t>
            </w:r>
          </w:p>
        </w:tc>
        <w:tc>
          <w:tcPr>
            <w:tcW w:type="dxa" w:w="1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Depth (below GL)</w:t>
            </w:r>
          </w:p>
        </w:tc>
        <w:tc>
          <w:tcPr>
            <w:tcW w:type="dxa" w:w="10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Thickness</w:t>
            </w:r>
          </w:p>
        </w:tc>
      </w:tr>
      <w:tr>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Isolated Footing F1</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Corner columns C1</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1.8 × 1.8 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1.2 m</w:t>
            </w:r>
          </w:p>
        </w:tc>
        <w:tc>
          <w:tcPr>
            <w:tcW w:type="dxa" w:w="1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450 mm</w:t>
            </w:r>
          </w:p>
        </w:tc>
      </w:tr>
      <w:tr>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Isolated Footing F2</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Edge columns C2</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 × 1.5 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 m</w:t>
            </w:r>
          </w:p>
        </w:tc>
        <w:tc>
          <w:tcPr>
            <w:tcW w:type="dxa" w:w="1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450 mm</w:t>
            </w:r>
          </w:p>
        </w:tc>
      </w:tr>
      <w:tr>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Isolated Footing F3</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Internal columns C3</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1.5 × 1.5 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1.2 m</w:t>
            </w:r>
          </w:p>
        </w:tc>
        <w:tc>
          <w:tcPr>
            <w:tcW w:type="dxa" w:w="1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400 mm</w:t>
            </w:r>
          </w:p>
        </w:tc>
      </w:tr>
      <w:tr>
        <w:tc>
          <w:tcPr>
            <w:tcW w:type="dxa" w:w="2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Isolated Footing F4</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Colonnade C4</w:t>
            </w:r>
          </w:p>
        </w:tc>
        <w:tc>
          <w:tcPr>
            <w:tcW w:type="dxa" w:w="1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 × 1.2 m</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 m</w:t>
            </w:r>
          </w:p>
        </w:tc>
        <w:tc>
          <w:tcPr>
            <w:tcW w:type="dxa" w:w="1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350 mm</w:t>
            </w:r>
          </w:p>
        </w:tc>
      </w:tr>
      <w:tr>
        <w:tc>
          <w:tcPr>
            <w:tcW w:type="dxa" w:w="2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Plinth Beam PB1</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All columns</w:t>
            </w:r>
          </w:p>
        </w:tc>
        <w:tc>
          <w:tcPr>
            <w:tcW w:type="dxa" w:w="1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 300 mm</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6.8  Load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Load Type</w:t>
            </w:r>
          </w:p>
        </w:tc>
        <w:tc>
          <w:tcPr>
            <w:tcW w:type="dxa" w:w="2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0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 Reference</w:t>
            </w:r>
          </w:p>
        </w:tc>
      </w:tr>
      <w:tr>
        <w:tc>
          <w:tcPr>
            <w:tcW w:type="dxa" w:w="3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Self-weight of slab (150 mm)</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3.75 kN/m²</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 875 Part 1</w:t>
            </w:r>
          </w:p>
        </w:tc>
      </w:tr>
      <w:tr>
        <w:tc>
          <w:tcPr>
            <w:tcW w:type="dxa" w:w="3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Floor finish (marble, 25 mm)</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0.63 kN/m²</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 875 Part 1</w:t>
            </w:r>
          </w:p>
        </w:tc>
      </w:tr>
      <w:tr>
        <w:tc>
          <w:tcPr>
            <w:tcW w:type="dxa" w:w="3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Brick wall load (3.0 m height)</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13.0 kN/m (linear)</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 875 Part 1</w:t>
            </w:r>
          </w:p>
        </w:tc>
      </w:tr>
      <w:tr>
        <w:tc>
          <w:tcPr>
            <w:tcW w:type="dxa" w:w="3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Live load — bedrooms</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 kN/m²</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 875 Part 2 Table 1</w:t>
            </w:r>
          </w:p>
        </w:tc>
      </w:tr>
      <w:tr>
        <w:tc>
          <w:tcPr>
            <w:tcW w:type="dxa" w:w="3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Live load — living / dining</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3.0 kN/m²</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 875 Part 2 Table 1</w:t>
            </w:r>
          </w:p>
        </w:tc>
      </w:tr>
      <w:tr>
        <w:tc>
          <w:tcPr>
            <w:tcW w:type="dxa" w:w="3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Live load — terrace</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 kN/m²</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 875 Part 2 Table 1</w:t>
            </w:r>
          </w:p>
        </w:tc>
      </w:tr>
      <w:tr>
        <w:tc>
          <w:tcPr>
            <w:tcW w:type="dxa" w:w="3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Live load — staircase</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3.0 kN/m²</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 875 Part 2 Table 1</w:t>
            </w:r>
          </w:p>
        </w:tc>
      </w:tr>
      <w:tr>
        <w:tc>
          <w:tcPr>
            <w:tcW w:type="dxa" w:w="3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Wind load (design wind speed)</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VZ = 39 m/s at 10 m</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 875 Part 3</w:t>
            </w:r>
          </w:p>
        </w:tc>
      </w:tr>
      <w:tr>
        <w:tc>
          <w:tcPr>
            <w:tcW w:type="dxa" w:w="3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Seismic Zone Factor Z</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Z = 0.10 (Zone II)</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 1893 Table 3</w:t>
            </w:r>
          </w:p>
        </w:tc>
      </w:tr>
      <w:tr>
        <w:tc>
          <w:tcPr>
            <w:tcW w:type="dxa" w:w="3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Importance Factor I</w:t>
            </w:r>
          </w:p>
        </w:tc>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 = 1.0 (residential)</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 1893 Table 8</w:t>
            </w:r>
          </w:p>
        </w:tc>
      </w:tr>
      <w:tr>
        <w:tc>
          <w:tcPr>
            <w:tcW w:type="dxa" w:w="3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Response Reduction Factor R</w:t>
            </w:r>
          </w:p>
        </w:tc>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 = 3.0 (SMRF assumed)</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IS 1893 Table 9</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6.9  STAAD.Pro Modelling Notes</w:t>
      </w:r>
    </w:p>
    <w:p>
      <w:pPr>
        <w:spacing w:after="120" w:before="80" w:line="300"/>
      </w:pPr>
      <w:r>
        <w:rPr>
          <w:rFonts w:ascii="Arial" w:cs="Arial" w:eastAsia="Arial" w:hAnsi="Arial"/>
          <w:color w:val="1A1A1A"/>
          <w:sz w:val="22"/>
          <w:szCs w:val="22"/>
        </w:rPr>
        <w:t xml:space="preserve">The structural model in STAAD.Pro is built as a 3D space frame with the following modelling assumptions:</w:t>
      </w:r>
    </w:p>
    <w:p>
      <w:pPr>
        <w:pStyle w:val="ListParagraph"/>
        <w:numPr>
          <w:ilvl w:val="0"/>
          <w:numId w:val="2"/>
        </w:numPr>
        <w:spacing w:after="60" w:before="60"/>
      </w:pPr>
      <w:r>
        <w:rPr>
          <w:rFonts w:ascii="Arial" w:cs="Arial" w:eastAsia="Arial" w:hAnsi="Arial"/>
          <w:color w:val="1A1A1A"/>
          <w:sz w:val="22"/>
          <w:szCs w:val="22"/>
        </w:rPr>
        <w:t xml:space="preserve">All columns, beams and plinth beams are modelled as 3D beam elements with rigid joint connectivity.</w:t>
      </w:r>
    </w:p>
    <w:p>
      <w:pPr>
        <w:pStyle w:val="ListParagraph"/>
        <w:numPr>
          <w:ilvl w:val="0"/>
          <w:numId w:val="2"/>
        </w:numPr>
        <w:spacing w:after="60" w:before="60"/>
      </w:pPr>
      <w:r>
        <w:rPr>
          <w:rFonts w:ascii="Arial" w:cs="Arial" w:eastAsia="Arial" w:hAnsi="Arial"/>
          <w:color w:val="1A1A1A"/>
          <w:sz w:val="22"/>
          <w:szCs w:val="22"/>
        </w:rPr>
        <w:t xml:space="preserve">Slabs are modelled as plate/shell elements with thickness as per slab schedule.</w:t>
      </w:r>
    </w:p>
    <w:p>
      <w:pPr>
        <w:pStyle w:val="ListParagraph"/>
        <w:numPr>
          <w:ilvl w:val="0"/>
          <w:numId w:val="2"/>
        </w:numPr>
        <w:spacing w:after="60" w:before="60"/>
      </w:pPr>
      <w:r>
        <w:rPr>
          <w:rFonts w:ascii="Arial" w:cs="Arial" w:eastAsia="Arial" w:hAnsi="Arial"/>
          <w:color w:val="1A1A1A"/>
          <w:sz w:val="22"/>
          <w:szCs w:val="22"/>
        </w:rPr>
        <w:t xml:space="preserve">Fixed boundary conditions at column base nodes (representing isolated footing on hard stratum).</w:t>
      </w:r>
    </w:p>
    <w:p>
      <w:pPr>
        <w:pStyle w:val="ListParagraph"/>
        <w:numPr>
          <w:ilvl w:val="0"/>
          <w:numId w:val="2"/>
        </w:numPr>
        <w:spacing w:after="60" w:before="60"/>
      </w:pPr>
      <w:r>
        <w:rPr>
          <w:rFonts w:ascii="Arial" w:cs="Arial" w:eastAsia="Arial" w:hAnsi="Arial"/>
          <w:color w:val="1A1A1A"/>
          <w:sz w:val="22"/>
          <w:szCs w:val="22"/>
        </w:rPr>
        <w:t xml:space="preserve">Infill brick walls are not modelled structurally; their weight is applied as UDL on supporting beams.</w:t>
      </w:r>
    </w:p>
    <w:p>
      <w:pPr>
        <w:pStyle w:val="ListParagraph"/>
        <w:numPr>
          <w:ilvl w:val="0"/>
          <w:numId w:val="2"/>
        </w:numPr>
        <w:spacing w:after="60" w:before="60"/>
      </w:pPr>
      <w:r>
        <w:rPr>
          <w:rFonts w:ascii="Arial" w:cs="Arial" w:eastAsia="Arial" w:hAnsi="Arial"/>
          <w:color w:val="1A1A1A"/>
          <w:sz w:val="22"/>
          <w:szCs w:val="22"/>
        </w:rPr>
        <w:t xml:space="preserve">Cantilever Chajja elements modelled as cantilever beam elements with tapered section.</w:t>
      </w:r>
    </w:p>
    <w:p>
      <w:pPr>
        <w:pStyle w:val="ListParagraph"/>
        <w:numPr>
          <w:ilvl w:val="0"/>
          <w:numId w:val="2"/>
        </w:numPr>
        <w:spacing w:after="60" w:before="60"/>
      </w:pPr>
      <w:r>
        <w:rPr>
          <w:rFonts w:ascii="Arial" w:cs="Arial" w:eastAsia="Arial" w:hAnsi="Arial"/>
          <w:color w:val="1A1A1A"/>
          <w:sz w:val="22"/>
          <w:szCs w:val="22"/>
        </w:rPr>
        <w:t xml:space="preserve">Load combinations follow IS 1893 Table 4 — DL+LL, DL+LL+EQ(±X), DL+LL+EQ(±Z), etc.</w:t>
      </w:r>
    </w:p>
    <w:p>
      <w:pPr>
        <w:pStyle w:val="ListParagraph"/>
        <w:numPr>
          <w:ilvl w:val="0"/>
          <w:numId w:val="2"/>
        </w:numPr>
        <w:spacing w:after="60" w:before="60"/>
      </w:pPr>
      <w:r>
        <w:rPr>
          <w:rFonts w:ascii="Arial" w:cs="Arial" w:eastAsia="Arial" w:hAnsi="Arial"/>
          <w:color w:val="1A1A1A"/>
          <w:sz w:val="22"/>
          <w:szCs w:val="22"/>
        </w:rPr>
        <w:t xml:space="preserve">Design is performed using STAAD.Pro RC Designer (IS 456:2000) for columns, beams, and slabs.</w:t>
      </w:r>
    </w:p>
    <w:p>
      <w:pPr>
        <w:pStyle w:val="ListParagraph"/>
        <w:numPr>
          <w:ilvl w:val="0"/>
          <w:numId w:val="2"/>
        </w:numPr>
        <w:spacing w:after="60" w:before="60"/>
      </w:pPr>
      <w:r>
        <w:rPr>
          <w:rFonts w:ascii="Arial" w:cs="Arial" w:eastAsia="Arial" w:hAnsi="Arial"/>
          <w:color w:val="1A1A1A"/>
          <w:sz w:val="22"/>
          <w:szCs w:val="22"/>
        </w:rPr>
        <w:t xml:space="preserve">Results checked for deflection (span/350), crack width (0.3 mm max), and shear capacity.</w:t>
      </w:r>
    </w:p>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7. Mechanical, Electrical &amp; Plumbing (MEP) Services</w:t>
      </w:r>
    </w:p>
    <w:p>
      <w:pPr>
        <w:pStyle w:val="Heading2"/>
        <w:spacing w:after="140" w:before="280"/>
      </w:pPr>
      <w:r>
        <w:rPr>
          <w:rFonts w:ascii="Arial" w:cs="Arial" w:eastAsia="Arial" w:hAnsi="Arial"/>
          <w:b/>
          <w:bCs/>
          <w:color w:val="6B3A2A"/>
          <w:sz w:val="26"/>
          <w:szCs w:val="26"/>
        </w:rPr>
        <w:t xml:space="preserve">7.1  Plumbing &amp; Drainage</w:t>
      </w:r>
    </w:p>
    <w:p>
      <w:pPr>
        <w:pStyle w:val="ListParagraph"/>
        <w:numPr>
          <w:ilvl w:val="0"/>
          <w:numId w:val="2"/>
        </w:numPr>
        <w:spacing w:after="60" w:before="60"/>
      </w:pPr>
      <w:r>
        <w:rPr>
          <w:rFonts w:ascii="Arial" w:cs="Arial" w:eastAsia="Arial" w:hAnsi="Arial"/>
          <w:color w:val="1A1A1A"/>
          <w:sz w:val="22"/>
          <w:szCs w:val="22"/>
        </w:rPr>
        <w:t xml:space="preserve">Water supply: Overhead RCC tank (5,000 litres) at SW terrace corner — Vastu-compliant position.</w:t>
      </w:r>
    </w:p>
    <w:p>
      <w:pPr>
        <w:pStyle w:val="ListParagraph"/>
        <w:numPr>
          <w:ilvl w:val="0"/>
          <w:numId w:val="2"/>
        </w:numPr>
        <w:spacing w:after="60" w:before="60"/>
      </w:pPr>
      <w:r>
        <w:rPr>
          <w:rFonts w:ascii="Arial" w:cs="Arial" w:eastAsia="Arial" w:hAnsi="Arial"/>
          <w:color w:val="1A1A1A"/>
          <w:sz w:val="22"/>
          <w:szCs w:val="22"/>
        </w:rPr>
        <w:t xml:space="preserve">Underground sump: 8,000 litres in NE courtyard zone for rainwater harvesting.</w:t>
      </w:r>
    </w:p>
    <w:p>
      <w:pPr>
        <w:pStyle w:val="ListParagraph"/>
        <w:numPr>
          <w:ilvl w:val="0"/>
          <w:numId w:val="2"/>
        </w:numPr>
        <w:spacing w:after="60" w:before="60"/>
      </w:pPr>
      <w:r>
        <w:rPr>
          <w:rFonts w:ascii="Arial" w:cs="Arial" w:eastAsia="Arial" w:hAnsi="Arial"/>
          <w:color w:val="1A1A1A"/>
          <w:sz w:val="22"/>
          <w:szCs w:val="22"/>
        </w:rPr>
        <w:t xml:space="preserve">Hot water: Solar water heater (200 LPD) on roof, supplemented by electric geyser.</w:t>
      </w:r>
    </w:p>
    <w:p>
      <w:pPr>
        <w:pStyle w:val="ListParagraph"/>
        <w:numPr>
          <w:ilvl w:val="0"/>
          <w:numId w:val="2"/>
        </w:numPr>
        <w:spacing w:after="60" w:before="60"/>
      </w:pPr>
      <w:r>
        <w:rPr>
          <w:rFonts w:ascii="Arial" w:cs="Arial" w:eastAsia="Arial" w:hAnsi="Arial"/>
          <w:color w:val="1A1A1A"/>
          <w:sz w:val="22"/>
          <w:szCs w:val="22"/>
        </w:rPr>
        <w:t xml:space="preserve">Drainage: Two-pipe system — soil pipe (100 mm uPVC) and waste pipe (75 mm uPVC).</w:t>
      </w:r>
    </w:p>
    <w:p>
      <w:pPr>
        <w:pStyle w:val="ListParagraph"/>
        <w:numPr>
          <w:ilvl w:val="0"/>
          <w:numId w:val="2"/>
        </w:numPr>
        <w:spacing w:after="60" w:before="60"/>
      </w:pPr>
      <w:r>
        <w:rPr>
          <w:rFonts w:ascii="Arial" w:cs="Arial" w:eastAsia="Arial" w:hAnsi="Arial"/>
          <w:color w:val="1A1A1A"/>
          <w:sz w:val="22"/>
          <w:szCs w:val="22"/>
        </w:rPr>
        <w:t xml:space="preserve">All wet areas waterproofed with two-component crystalline waterproofing membrane (Fosroc/Dr. Fixit).</w:t>
      </w:r>
    </w:p>
    <w:p>
      <w:pPr>
        <w:pStyle w:val="ListParagraph"/>
        <w:numPr>
          <w:ilvl w:val="0"/>
          <w:numId w:val="2"/>
        </w:numPr>
        <w:spacing w:after="60" w:before="60"/>
      </w:pPr>
      <w:r>
        <w:rPr>
          <w:rFonts w:ascii="Arial" w:cs="Arial" w:eastAsia="Arial" w:hAnsi="Arial"/>
          <w:color w:val="1A1A1A"/>
          <w:sz w:val="22"/>
          <w:szCs w:val="22"/>
        </w:rPr>
        <w:t xml:space="preserve">Rainwater from central courtyard collected via 100 mm internal downpipes to underground sump.</w:t>
      </w:r>
    </w:p>
    <w:p>
      <w:pPr>
        <w:pStyle w:val="Heading2"/>
        <w:spacing w:after="140" w:before="280"/>
      </w:pPr>
      <w:r>
        <w:rPr>
          <w:rFonts w:ascii="Arial" w:cs="Arial" w:eastAsia="Arial" w:hAnsi="Arial"/>
          <w:b/>
          <w:bCs/>
          <w:color w:val="6B3A2A"/>
          <w:sz w:val="26"/>
          <w:szCs w:val="26"/>
        </w:rPr>
        <w:t xml:space="preserve">7.2  Electrical Services</w:t>
      </w:r>
    </w:p>
    <w:p>
      <w:pPr>
        <w:pStyle w:val="ListParagraph"/>
        <w:numPr>
          <w:ilvl w:val="0"/>
          <w:numId w:val="2"/>
        </w:numPr>
        <w:spacing w:after="60" w:before="60"/>
      </w:pPr>
      <w:r>
        <w:rPr>
          <w:rFonts w:ascii="Arial" w:cs="Arial" w:eastAsia="Arial" w:hAnsi="Arial"/>
          <w:color w:val="1A1A1A"/>
          <w:sz w:val="22"/>
          <w:szCs w:val="22"/>
        </w:rPr>
        <w:t xml:space="preserve">Service connection: 3-phase 10 kW supply from DISCOMS; metering at east boundary wall.</w:t>
      </w:r>
    </w:p>
    <w:p>
      <w:pPr>
        <w:pStyle w:val="ListParagraph"/>
        <w:numPr>
          <w:ilvl w:val="0"/>
          <w:numId w:val="2"/>
        </w:numPr>
        <w:spacing w:after="60" w:before="60"/>
      </w:pPr>
      <w:r>
        <w:rPr>
          <w:rFonts w:ascii="Arial" w:cs="Arial" w:eastAsia="Arial" w:hAnsi="Arial"/>
          <w:color w:val="1A1A1A"/>
          <w:sz w:val="22"/>
          <w:szCs w:val="22"/>
        </w:rPr>
        <w:t xml:space="preserve">Distribution: Main DB at ground floor, sub-DB at first-floor landing.</w:t>
      </w:r>
    </w:p>
    <w:p>
      <w:pPr>
        <w:pStyle w:val="ListParagraph"/>
        <w:numPr>
          <w:ilvl w:val="0"/>
          <w:numId w:val="2"/>
        </w:numPr>
        <w:spacing w:after="60" w:before="60"/>
      </w:pPr>
      <w:r>
        <w:rPr>
          <w:rFonts w:ascii="Arial" w:cs="Arial" w:eastAsia="Arial" w:hAnsi="Arial"/>
          <w:color w:val="1A1A1A"/>
          <w:sz w:val="22"/>
          <w:szCs w:val="22"/>
        </w:rPr>
        <w:t xml:space="preserve">Lighting: LED throughout (warm 2700K in living/bedrooms, 4000K in kitchen/study).</w:t>
      </w:r>
    </w:p>
    <w:p>
      <w:pPr>
        <w:pStyle w:val="ListParagraph"/>
        <w:numPr>
          <w:ilvl w:val="0"/>
          <w:numId w:val="2"/>
        </w:numPr>
        <w:spacing w:after="60" w:before="60"/>
      </w:pPr>
      <w:r>
        <w:rPr>
          <w:rFonts w:ascii="Arial" w:cs="Arial" w:eastAsia="Arial" w:hAnsi="Arial"/>
          <w:color w:val="1A1A1A"/>
          <w:sz w:val="22"/>
          <w:szCs w:val="22"/>
        </w:rPr>
        <w:t xml:space="preserve">Power points: 6A and 16A outlets as per NBC 2016 norms.</w:t>
      </w:r>
    </w:p>
    <w:p>
      <w:pPr>
        <w:pStyle w:val="ListParagraph"/>
        <w:numPr>
          <w:ilvl w:val="0"/>
          <w:numId w:val="2"/>
        </w:numPr>
        <w:spacing w:after="60" w:before="60"/>
      </w:pPr>
      <w:r>
        <w:rPr>
          <w:rFonts w:ascii="Arial" w:cs="Arial" w:eastAsia="Arial" w:hAnsi="Arial"/>
          <w:color w:val="1A1A1A"/>
          <w:sz w:val="22"/>
          <w:szCs w:val="22"/>
        </w:rPr>
        <w:t xml:space="preserve">Earthing: Pipe earthing at two locations (IS 3043).</w:t>
      </w:r>
    </w:p>
    <w:p>
      <w:pPr>
        <w:pStyle w:val="ListParagraph"/>
        <w:numPr>
          <w:ilvl w:val="0"/>
          <w:numId w:val="2"/>
        </w:numPr>
        <w:spacing w:after="60" w:before="60"/>
      </w:pPr>
      <w:r>
        <w:rPr>
          <w:rFonts w:ascii="Arial" w:cs="Arial" w:eastAsia="Arial" w:hAnsi="Arial"/>
          <w:color w:val="1A1A1A"/>
          <w:sz w:val="22"/>
          <w:szCs w:val="22"/>
        </w:rPr>
        <w:t xml:space="preserve">Provisions: EV charging point at carport; solar PV conduit provision for future 2 kWp system.</w:t>
      </w:r>
    </w:p>
    <w:p>
      <w:pPr>
        <w:pStyle w:val="Heading2"/>
        <w:spacing w:after="140" w:before="280"/>
      </w:pPr>
      <w:r>
        <w:rPr>
          <w:rFonts w:ascii="Arial" w:cs="Arial" w:eastAsia="Arial" w:hAnsi="Arial"/>
          <w:b/>
          <w:bCs/>
          <w:color w:val="6B3A2A"/>
          <w:sz w:val="26"/>
          <w:szCs w:val="26"/>
        </w:rPr>
        <w:t xml:space="preserve">7.3  Air Conditioning &amp; Ventilation</w:t>
      </w:r>
    </w:p>
    <w:p>
      <w:pPr>
        <w:pStyle w:val="ListParagraph"/>
        <w:numPr>
          <w:ilvl w:val="0"/>
          <w:numId w:val="2"/>
        </w:numPr>
        <w:spacing w:after="60" w:before="60"/>
      </w:pPr>
      <w:r>
        <w:rPr>
          <w:rFonts w:ascii="Arial" w:cs="Arial" w:eastAsia="Arial" w:hAnsi="Arial"/>
          <w:color w:val="1A1A1A"/>
          <w:sz w:val="22"/>
          <w:szCs w:val="22"/>
        </w:rPr>
        <w:t xml:space="preserve">AC: Split AC units to all bedrooms and living room (5-star BEE rated, 1.5 ton each).</w:t>
      </w:r>
    </w:p>
    <w:p>
      <w:pPr>
        <w:pStyle w:val="ListParagraph"/>
        <w:numPr>
          <w:ilvl w:val="0"/>
          <w:numId w:val="2"/>
        </w:numPr>
        <w:spacing w:after="60" w:before="60"/>
      </w:pPr>
      <w:r>
        <w:rPr>
          <w:rFonts w:ascii="Arial" w:cs="Arial" w:eastAsia="Arial" w:hAnsi="Arial"/>
          <w:color w:val="1A1A1A"/>
          <w:sz w:val="22"/>
          <w:szCs w:val="22"/>
        </w:rPr>
        <w:t xml:space="preserve">Kitchen: Exhaust fan (900 mm duct) + wall exhaust fan; chimney hood vented through SE wall.</w:t>
      </w:r>
    </w:p>
    <w:p>
      <w:pPr>
        <w:pStyle w:val="ListParagraph"/>
        <w:numPr>
          <w:ilvl w:val="0"/>
          <w:numId w:val="2"/>
        </w:numPr>
        <w:spacing w:after="60" w:before="60"/>
      </w:pPr>
      <w:r>
        <w:rPr>
          <w:rFonts w:ascii="Arial" w:cs="Arial" w:eastAsia="Arial" w:hAnsi="Arial"/>
          <w:color w:val="1A1A1A"/>
          <w:sz w:val="22"/>
          <w:szCs w:val="22"/>
        </w:rPr>
        <w:t xml:space="preserve">Bathrooms: Exhaust fans to external face or ventilation shaft.</w:t>
      </w:r>
    </w:p>
    <w:p>
      <w:pPr>
        <w:pStyle w:val="ListParagraph"/>
        <w:numPr>
          <w:ilvl w:val="0"/>
          <w:numId w:val="2"/>
        </w:numPr>
        <w:spacing w:after="60" w:before="60"/>
      </w:pPr>
      <w:r>
        <w:rPr>
          <w:rFonts w:ascii="Arial" w:cs="Arial" w:eastAsia="Arial" w:hAnsi="Arial"/>
          <w:color w:val="1A1A1A"/>
          <w:sz w:val="22"/>
          <w:szCs w:val="22"/>
        </w:rPr>
        <w:t xml:space="preserve">Passive cooling: Jali screens + Chowk thermal chimney effect reduces cooling load by ~20%.</w:t>
      </w:r>
    </w:p>
    <w:p>
      <w:pPr>
        <w:pStyle w:val="ListParagraph"/>
        <w:numPr>
          <w:ilvl w:val="0"/>
          <w:numId w:val="2"/>
        </w:numPr>
        <w:spacing w:after="60" w:before="60"/>
      </w:pPr>
      <w:r>
        <w:rPr>
          <w:rFonts w:ascii="Arial" w:cs="Arial" w:eastAsia="Arial" w:hAnsi="Arial"/>
          <w:color w:val="1A1A1A"/>
          <w:sz w:val="22"/>
          <w:szCs w:val="22"/>
        </w:rPr>
        <w:t xml:space="preserve">Courtyard passive strategy: Pre-cooled air at ground level drawn into rooms through jali openings.</w:t>
      </w:r>
    </w:p>
    <w:p>
      <w:pPr>
        <w:pStyle w:val="Heading2"/>
        <w:spacing w:after="140" w:before="280"/>
      </w:pPr>
      <w:r>
        <w:rPr>
          <w:rFonts w:ascii="Arial" w:cs="Arial" w:eastAsia="Arial" w:hAnsi="Arial"/>
          <w:b/>
          <w:bCs/>
          <w:color w:val="6B3A2A"/>
          <w:sz w:val="26"/>
          <w:szCs w:val="26"/>
        </w:rPr>
        <w:t xml:space="preserve">7.4  Passive Design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c>
          <w:tcPr>
            <w:tcW w:type="dxa" w:w="3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Device</w:t>
            </w:r>
          </w:p>
        </w:tc>
        <w:tc>
          <w:tcPr>
            <w:tcW w:type="dxa" w:w="30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Benefit</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Solar shading</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Chajja 450–600 mm projection</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Blocks 90% of summer noon sun</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Cross-ventilation</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Jali screens on opposite facades</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15–20% reduction in cooling load</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Thermal mass</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mm brick + lime plaster</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3–4 hr thermal lag</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Stack ventilation</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Central Chowk open to sky</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Natural air extract in summer</w:t>
            </w:r>
          </w:p>
        </w:tc>
      </w:tr>
      <w:tr>
        <w:tc>
          <w:tcPr>
            <w:tcW w:type="dxa" w:w="2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Night flushing</w:t>
            </w:r>
          </w:p>
        </w:tc>
        <w:tc>
          <w:tcPr>
            <w:tcW w:type="dxa" w:w="3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Operable Jali panels at night</w:t>
            </w:r>
          </w:p>
        </w:tc>
        <w:tc>
          <w:tcPr>
            <w:tcW w:type="dxa" w:w="30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Pre-cools thermal mass</w:t>
            </w:r>
          </w:p>
        </w:tc>
      </w:tr>
      <w:tr>
        <w:tc>
          <w:tcPr>
            <w:tcW w:type="dxa" w:w="2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Evaporative cooling</w:t>
            </w:r>
          </w:p>
        </w:tc>
        <w:tc>
          <w:tcPr>
            <w:tcW w:type="dxa" w:w="3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Fountain / Tulsi chowk planter</w:t>
            </w:r>
          </w:p>
        </w:tc>
        <w:tc>
          <w:tcPr>
            <w:tcW w:type="dxa" w:w="30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2–3°C ambient drop in courtyard</w:t>
            </w:r>
          </w:p>
        </w:tc>
      </w:tr>
    </w:tbl>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8. Construction Methodology &amp; Phasing</w:t>
      </w:r>
    </w:p>
    <w:p>
      <w:pPr>
        <w:spacing w:after="120" w:before="80" w:line="300"/>
      </w:pPr>
      <w:r>
        <w:rPr>
          <w:rFonts w:ascii="Arial" w:cs="Arial" w:eastAsia="Arial" w:hAnsi="Arial"/>
          <w:color w:val="1A1A1A"/>
          <w:sz w:val="22"/>
          <w:szCs w:val="22"/>
        </w:rPr>
        <w:t xml:space="preserve">Construction is proposed in three sequential phases to allow systematic quality control, inspection, and flexibility in procurement.</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Phase 1 — Substructure &amp; Ground Floor (Months 1–5)</w:t>
      </w:r>
    </w:p>
    <w:p>
      <w:pPr>
        <w:pStyle w:val="ListParagraph"/>
        <w:numPr>
          <w:ilvl w:val="0"/>
          <w:numId w:val="3"/>
        </w:numPr>
        <w:spacing w:after="60" w:before="60"/>
      </w:pPr>
      <w:r>
        <w:rPr>
          <w:rFonts w:ascii="Arial" w:cs="Arial" w:eastAsia="Arial" w:hAnsi="Arial"/>
          <w:color w:val="1A1A1A"/>
          <w:sz w:val="22"/>
          <w:szCs w:val="22"/>
        </w:rPr>
        <w:t xml:space="preserve">Site clearance, setting out, and levelling.</w:t>
      </w:r>
    </w:p>
    <w:p>
      <w:pPr>
        <w:pStyle w:val="ListParagraph"/>
        <w:numPr>
          <w:ilvl w:val="0"/>
          <w:numId w:val="3"/>
        </w:numPr>
        <w:spacing w:after="60" w:before="60"/>
      </w:pPr>
      <w:r>
        <w:rPr>
          <w:rFonts w:ascii="Arial" w:cs="Arial" w:eastAsia="Arial" w:hAnsi="Arial"/>
          <w:color w:val="1A1A1A"/>
          <w:sz w:val="22"/>
          <w:szCs w:val="22"/>
        </w:rPr>
        <w:t xml:space="preserve">Excavation for isolated footings and plinth beam trenches.</w:t>
      </w:r>
    </w:p>
    <w:p>
      <w:pPr>
        <w:pStyle w:val="ListParagraph"/>
        <w:numPr>
          <w:ilvl w:val="0"/>
          <w:numId w:val="3"/>
        </w:numPr>
        <w:spacing w:after="60" w:before="60"/>
      </w:pPr>
      <w:r>
        <w:rPr>
          <w:rFonts w:ascii="Arial" w:cs="Arial" w:eastAsia="Arial" w:hAnsi="Arial"/>
          <w:color w:val="1A1A1A"/>
          <w:sz w:val="22"/>
          <w:szCs w:val="22"/>
        </w:rPr>
        <w:t xml:space="preserve">Anti-termite treatment to sub-grade soil (IS 6313 compliant).</w:t>
      </w:r>
    </w:p>
    <w:p>
      <w:pPr>
        <w:pStyle w:val="ListParagraph"/>
        <w:numPr>
          <w:ilvl w:val="0"/>
          <w:numId w:val="3"/>
        </w:numPr>
        <w:spacing w:after="60" w:before="60"/>
      </w:pPr>
      <w:r>
        <w:rPr>
          <w:rFonts w:ascii="Arial" w:cs="Arial" w:eastAsia="Arial" w:hAnsi="Arial"/>
          <w:color w:val="1A1A1A"/>
          <w:sz w:val="22"/>
          <w:szCs w:val="22"/>
        </w:rPr>
        <w:t xml:space="preserve">Concreting of footings (M25) and plinth beams.</w:t>
      </w:r>
    </w:p>
    <w:p>
      <w:pPr>
        <w:pStyle w:val="ListParagraph"/>
        <w:numPr>
          <w:ilvl w:val="0"/>
          <w:numId w:val="3"/>
        </w:numPr>
        <w:spacing w:after="60" w:before="60"/>
      </w:pPr>
      <w:r>
        <w:rPr>
          <w:rFonts w:ascii="Arial" w:cs="Arial" w:eastAsia="Arial" w:hAnsi="Arial"/>
          <w:color w:val="1A1A1A"/>
          <w:sz w:val="22"/>
          <w:szCs w:val="22"/>
        </w:rPr>
        <w:t xml:space="preserve">Basement slab / DPC layer with waterproofing membrane.</w:t>
      </w:r>
    </w:p>
    <w:p>
      <w:pPr>
        <w:pStyle w:val="ListParagraph"/>
        <w:numPr>
          <w:ilvl w:val="0"/>
          <w:numId w:val="3"/>
        </w:numPr>
        <w:spacing w:after="60" w:before="60"/>
      </w:pPr>
      <w:r>
        <w:rPr>
          <w:rFonts w:ascii="Arial" w:cs="Arial" w:eastAsia="Arial" w:hAnsi="Arial"/>
          <w:color w:val="1A1A1A"/>
          <w:sz w:val="22"/>
          <w:szCs w:val="22"/>
        </w:rPr>
        <w:t xml:space="preserve">Ground floor columns cast up to first-floor slab soffit.</w:t>
      </w:r>
    </w:p>
    <w:p>
      <w:pPr>
        <w:pStyle w:val="ListParagraph"/>
        <w:numPr>
          <w:ilvl w:val="0"/>
          <w:numId w:val="3"/>
        </w:numPr>
        <w:spacing w:after="60" w:before="60"/>
      </w:pPr>
      <w:r>
        <w:rPr>
          <w:rFonts w:ascii="Arial" w:cs="Arial" w:eastAsia="Arial" w:hAnsi="Arial"/>
          <w:color w:val="1A1A1A"/>
          <w:sz w:val="22"/>
          <w:szCs w:val="22"/>
        </w:rPr>
        <w:t xml:space="preserve">Ground floor beam and slab shuttering, reinforcement, and concreting.</w:t>
      </w:r>
    </w:p>
    <w:p>
      <w:pPr>
        <w:pStyle w:val="ListParagraph"/>
        <w:numPr>
          <w:ilvl w:val="0"/>
          <w:numId w:val="3"/>
        </w:numPr>
        <w:spacing w:after="60" w:before="60"/>
      </w:pPr>
      <w:r>
        <w:rPr>
          <w:rFonts w:ascii="Arial" w:cs="Arial" w:eastAsia="Arial" w:hAnsi="Arial"/>
          <w:color w:val="1A1A1A"/>
          <w:sz w:val="22"/>
          <w:szCs w:val="22"/>
        </w:rPr>
        <w:t xml:space="preserve">Masonry infill walls, lintels, and door/window frames — ground floor.</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Phase 2 — Superstructure &amp; First Floor (Months 5–10)</w:t>
      </w:r>
    </w:p>
    <w:p>
      <w:pPr>
        <w:pStyle w:val="ListParagraph"/>
        <w:numPr>
          <w:ilvl w:val="0"/>
          <w:numId w:val="3"/>
        </w:numPr>
        <w:spacing w:after="60" w:before="60"/>
      </w:pPr>
      <w:r>
        <w:rPr>
          <w:rFonts w:ascii="Arial" w:cs="Arial" w:eastAsia="Arial" w:hAnsi="Arial"/>
          <w:color w:val="1A1A1A"/>
          <w:sz w:val="22"/>
          <w:szCs w:val="22"/>
        </w:rPr>
        <w:t xml:space="preserve">First floor columns, beams, and slab construction.</w:t>
      </w:r>
    </w:p>
    <w:p>
      <w:pPr>
        <w:pStyle w:val="ListParagraph"/>
        <w:numPr>
          <w:ilvl w:val="0"/>
          <w:numId w:val="3"/>
        </w:numPr>
        <w:spacing w:after="60" w:before="60"/>
      </w:pPr>
      <w:r>
        <w:rPr>
          <w:rFonts w:ascii="Arial" w:cs="Arial" w:eastAsia="Arial" w:hAnsi="Arial"/>
          <w:color w:val="1A1A1A"/>
          <w:sz w:val="22"/>
          <w:szCs w:val="22"/>
        </w:rPr>
        <w:t xml:space="preserve">Staircase construction (dogleg RCC stair).</w:t>
      </w:r>
    </w:p>
    <w:p>
      <w:pPr>
        <w:pStyle w:val="ListParagraph"/>
        <w:numPr>
          <w:ilvl w:val="0"/>
          <w:numId w:val="3"/>
        </w:numPr>
        <w:spacing w:after="60" w:before="60"/>
      </w:pPr>
      <w:r>
        <w:rPr>
          <w:rFonts w:ascii="Arial" w:cs="Arial" w:eastAsia="Arial" w:hAnsi="Arial"/>
          <w:color w:val="1A1A1A"/>
          <w:sz w:val="22"/>
          <w:szCs w:val="22"/>
        </w:rPr>
        <w:t xml:space="preserve">Roof slab concreting and waterproofing treatment.</w:t>
      </w:r>
    </w:p>
    <w:p>
      <w:pPr>
        <w:pStyle w:val="ListParagraph"/>
        <w:numPr>
          <w:ilvl w:val="0"/>
          <w:numId w:val="3"/>
        </w:numPr>
        <w:spacing w:after="60" w:before="60"/>
      </w:pPr>
      <w:r>
        <w:rPr>
          <w:rFonts w:ascii="Arial" w:cs="Arial" w:eastAsia="Arial" w:hAnsi="Arial"/>
          <w:color w:val="1A1A1A"/>
          <w:sz w:val="22"/>
          <w:szCs w:val="22"/>
        </w:rPr>
        <w:t xml:space="preserve">Masonry infill walls — first floor.</w:t>
      </w:r>
    </w:p>
    <w:p>
      <w:pPr>
        <w:pStyle w:val="ListParagraph"/>
        <w:numPr>
          <w:ilvl w:val="0"/>
          <w:numId w:val="3"/>
        </w:numPr>
        <w:spacing w:after="60" w:before="60"/>
      </w:pPr>
      <w:r>
        <w:rPr>
          <w:rFonts w:ascii="Arial" w:cs="Arial" w:eastAsia="Arial" w:hAnsi="Arial"/>
          <w:color w:val="1A1A1A"/>
          <w:sz w:val="22"/>
          <w:szCs w:val="22"/>
        </w:rPr>
        <w:t xml:space="preserve">Installation of Jharokha RCC cantilevers and Chajja projections.</w:t>
      </w:r>
    </w:p>
    <w:p>
      <w:pPr>
        <w:pStyle w:val="ListParagraph"/>
        <w:numPr>
          <w:ilvl w:val="0"/>
          <w:numId w:val="3"/>
        </w:numPr>
        <w:spacing w:after="60" w:before="60"/>
      </w:pPr>
      <w:r>
        <w:rPr>
          <w:rFonts w:ascii="Arial" w:cs="Arial" w:eastAsia="Arial" w:hAnsi="Arial"/>
          <w:color w:val="1A1A1A"/>
          <w:sz w:val="22"/>
          <w:szCs w:val="22"/>
        </w:rPr>
        <w:t xml:space="preserve">Sandstone cladding and bracket installation to facade.</w:t>
      </w:r>
    </w:p>
    <w:p>
      <w:pPr>
        <w:pStyle w:val="ListParagraph"/>
        <w:numPr>
          <w:ilvl w:val="0"/>
          <w:numId w:val="3"/>
        </w:numPr>
        <w:spacing w:after="60" w:before="60"/>
      </w:pPr>
      <w:r>
        <w:rPr>
          <w:rFonts w:ascii="Arial" w:cs="Arial" w:eastAsia="Arial" w:hAnsi="Arial"/>
          <w:color w:val="1A1A1A"/>
          <w:sz w:val="22"/>
          <w:szCs w:val="22"/>
        </w:rPr>
        <w:t xml:space="preserve">Jali panel installation (courtyard + verandah).</w:t>
      </w:r>
    </w:p>
    <w:p>
      <w:pPr>
        <w:pStyle w:val="ListParagraph"/>
        <w:numPr>
          <w:ilvl w:val="0"/>
          <w:numId w:val="3"/>
        </w:numPr>
        <w:spacing w:after="60" w:before="60"/>
      </w:pPr>
      <w:r>
        <w:rPr>
          <w:rFonts w:ascii="Arial" w:cs="Arial" w:eastAsia="Arial" w:hAnsi="Arial"/>
          <w:color w:val="1A1A1A"/>
          <w:sz w:val="22"/>
          <w:szCs w:val="22"/>
        </w:rPr>
        <w:t xml:space="preserve">Rough-in plumbing, electrical conduit, and AC sleeves.</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Phase 3 — Finishing &amp; Fit-out (Months 10–15)</w:t>
      </w:r>
    </w:p>
    <w:p>
      <w:pPr>
        <w:pStyle w:val="ListParagraph"/>
        <w:numPr>
          <w:ilvl w:val="0"/>
          <w:numId w:val="3"/>
        </w:numPr>
        <w:spacing w:after="60" w:before="60"/>
      </w:pPr>
      <w:r>
        <w:rPr>
          <w:rFonts w:ascii="Arial" w:cs="Arial" w:eastAsia="Arial" w:hAnsi="Arial"/>
          <w:color w:val="1A1A1A"/>
          <w:sz w:val="22"/>
          <w:szCs w:val="22"/>
        </w:rPr>
        <w:t xml:space="preserve">Internal plastering (lime plaster, two-coat finish).</w:t>
      </w:r>
    </w:p>
    <w:p>
      <w:pPr>
        <w:pStyle w:val="ListParagraph"/>
        <w:numPr>
          <w:ilvl w:val="0"/>
          <w:numId w:val="3"/>
        </w:numPr>
        <w:spacing w:after="60" w:before="60"/>
      </w:pPr>
      <w:r>
        <w:rPr>
          <w:rFonts w:ascii="Arial" w:cs="Arial" w:eastAsia="Arial" w:hAnsi="Arial"/>
          <w:color w:val="1A1A1A"/>
          <w:sz w:val="22"/>
          <w:szCs w:val="22"/>
        </w:rPr>
        <w:t xml:space="preserve">Flooring installation — Makrana marble, Kota stone, Jodhpur sandstone.</w:t>
      </w:r>
    </w:p>
    <w:p>
      <w:pPr>
        <w:pStyle w:val="ListParagraph"/>
        <w:numPr>
          <w:ilvl w:val="0"/>
          <w:numId w:val="3"/>
        </w:numPr>
        <w:spacing w:after="60" w:before="60"/>
      </w:pPr>
      <w:r>
        <w:rPr>
          <w:rFonts w:ascii="Arial" w:cs="Arial" w:eastAsia="Arial" w:hAnsi="Arial"/>
          <w:color w:val="1A1A1A"/>
          <w:sz w:val="22"/>
          <w:szCs w:val="22"/>
        </w:rPr>
        <w:t xml:space="preserve">Joinery installation — teak doors, windows, pivot bookshelf door.</w:t>
      </w:r>
    </w:p>
    <w:p>
      <w:pPr>
        <w:pStyle w:val="ListParagraph"/>
        <w:numPr>
          <w:ilvl w:val="0"/>
          <w:numId w:val="3"/>
        </w:numPr>
        <w:spacing w:after="60" w:before="60"/>
      </w:pPr>
      <w:r>
        <w:rPr>
          <w:rFonts w:ascii="Arial" w:cs="Arial" w:eastAsia="Arial" w:hAnsi="Arial"/>
          <w:color w:val="1A1A1A"/>
          <w:sz w:val="22"/>
          <w:szCs w:val="22"/>
        </w:rPr>
        <w:t xml:space="preserve">Painting and lime wash to exterior; distemper / paint to interior.</w:t>
      </w:r>
    </w:p>
    <w:p>
      <w:pPr>
        <w:pStyle w:val="ListParagraph"/>
        <w:numPr>
          <w:ilvl w:val="0"/>
          <w:numId w:val="3"/>
        </w:numPr>
        <w:spacing w:after="60" w:before="60"/>
      </w:pPr>
      <w:r>
        <w:rPr>
          <w:rFonts w:ascii="Arial" w:cs="Arial" w:eastAsia="Arial" w:hAnsi="Arial"/>
          <w:color w:val="1A1A1A"/>
          <w:sz w:val="22"/>
          <w:szCs w:val="22"/>
        </w:rPr>
        <w:t xml:space="preserve">Electrical fixtures, plumbing fixtures, and AC installation.</w:t>
      </w:r>
    </w:p>
    <w:p>
      <w:pPr>
        <w:pStyle w:val="ListParagraph"/>
        <w:numPr>
          <w:ilvl w:val="0"/>
          <w:numId w:val="3"/>
        </w:numPr>
        <w:spacing w:after="60" w:before="60"/>
      </w:pPr>
      <w:r>
        <w:rPr>
          <w:rFonts w:ascii="Arial" w:cs="Arial" w:eastAsia="Arial" w:hAnsi="Arial"/>
          <w:color w:val="1A1A1A"/>
          <w:sz w:val="22"/>
          <w:szCs w:val="22"/>
        </w:rPr>
        <w:t xml:space="preserve">Landscape, courtyard Tulsi planter, stone seating, and gates.</w:t>
      </w:r>
    </w:p>
    <w:p>
      <w:pPr>
        <w:pStyle w:val="ListParagraph"/>
        <w:numPr>
          <w:ilvl w:val="0"/>
          <w:numId w:val="3"/>
        </w:numPr>
        <w:spacing w:after="60" w:before="60"/>
      </w:pPr>
      <w:r>
        <w:rPr>
          <w:rFonts w:ascii="Arial" w:cs="Arial" w:eastAsia="Arial" w:hAnsi="Arial"/>
          <w:color w:val="1A1A1A"/>
          <w:sz w:val="22"/>
          <w:szCs w:val="22"/>
        </w:rPr>
        <w:t xml:space="preserve">Snagging, final inspections, and handover documentation.</w:t>
      </w:r>
    </w:p>
    <w:p>
      <w:pPr>
        <w:spacing w:after="80" w:before="80"/>
      </w:pPr>
      <w:r>
        <w:t xml:space="preserve"/>
      </w:r>
    </w:p>
    <w:p>
      <w:pPr>
        <w:pStyle w:val="Heading2"/>
        <w:spacing w:after="140" w:before="280"/>
      </w:pPr>
      <w:r>
        <w:rPr>
          <w:rFonts w:ascii="Arial" w:cs="Arial" w:eastAsia="Arial" w:hAnsi="Arial"/>
          <w:b/>
          <w:bCs/>
          <w:color w:val="6B3A2A"/>
          <w:sz w:val="26"/>
          <w:szCs w:val="26"/>
        </w:rPr>
        <w:t xml:space="preserve">8.1  Project Timeline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626"/>
      </w:tblGrid>
      <w:tr>
        <w:tc>
          <w:tcPr>
            <w:tcW w:type="dxa" w:w="14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3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Activity</w:t>
            </w:r>
          </w:p>
        </w:tc>
        <w:tc>
          <w:tcPr>
            <w:tcW w:type="dxa" w:w="2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26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Cumulative</w:t>
            </w:r>
          </w:p>
        </w:tc>
      </w:tr>
      <w:tr>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Phase 1</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Substructure &amp; GF</w:t>
            </w:r>
          </w:p>
        </w:tc>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Months 1–5</w:t>
            </w:r>
          </w:p>
        </w:tc>
        <w:tc>
          <w:tcPr>
            <w:tcW w:type="dxa" w:w="26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5 months</w:t>
            </w:r>
          </w:p>
        </w:tc>
      </w:tr>
      <w:tr>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2</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Superstructure &amp; FF</w:t>
            </w:r>
          </w:p>
        </w:tc>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Months 5–10</w:t>
            </w:r>
          </w:p>
        </w:tc>
        <w:tc>
          <w:tcPr>
            <w:tcW w:type="dxa" w:w="26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 months</w:t>
            </w:r>
          </w:p>
        </w:tc>
      </w:tr>
      <w:tr>
        <w:tc>
          <w:tcPr>
            <w:tcW w:type="dxa" w:w="14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Phase 3</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Finishes &amp; Fit-out</w:t>
            </w:r>
          </w:p>
        </w:tc>
        <w:tc>
          <w:tcPr>
            <w:tcW w:type="dxa" w:w="2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Months 10–15</w:t>
            </w:r>
          </w:p>
        </w:tc>
        <w:tc>
          <w:tcPr>
            <w:tcW w:type="dxa" w:w="26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15 months</w:t>
            </w:r>
          </w:p>
        </w:tc>
      </w:tr>
      <w:tr>
        <w:tc>
          <w:tcPr>
            <w:tcW w:type="dxa" w:w="14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Buffer</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Contingency / Monsoon</w:t>
            </w:r>
          </w:p>
        </w:tc>
        <w:tc>
          <w:tcPr>
            <w:tcW w:type="dxa" w:w="2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 month</w:t>
            </w:r>
          </w:p>
        </w:tc>
        <w:tc>
          <w:tcPr>
            <w:tcW w:type="dxa" w:w="26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16 months</w:t>
            </w:r>
          </w:p>
        </w:tc>
      </w:tr>
    </w:tbl>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9. Preliminary Cost Estimate</w:t>
      </w:r>
    </w:p>
    <w:p>
      <w:pPr>
        <w:spacing w:after="120" w:before="80" w:line="300"/>
      </w:pPr>
      <w:r>
        <w:rPr>
          <w:rFonts w:ascii="Arial" w:cs="Arial" w:eastAsia="Arial" w:hAnsi="Arial"/>
          <w:color w:val="1A1A1A"/>
          <w:sz w:val="22"/>
          <w:szCs w:val="22"/>
        </w:rPr>
        <w:t xml:space="preserve">The following is a broad-order cost estimate based on current Rajasthan market rates (2025–2026). Actual costs will vary based on material procurement, labour contracts, and site conditions. A detailed BOQ (Bill of Quantities) should be prepared at tender stage.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500"/>
        <w:gridCol w:w="1926"/>
      </w:tblGrid>
      <w:tr>
        <w:tc>
          <w:tcPr>
            <w:tcW w:type="dxa" w:w="6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S.No.</w:t>
            </w:r>
          </w:p>
        </w:tc>
        <w:tc>
          <w:tcPr>
            <w:tcW w:type="dxa" w:w="3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1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Approx. Area / Qty</w:t>
            </w:r>
          </w:p>
        </w:tc>
        <w:tc>
          <w:tcPr>
            <w:tcW w:type="dxa" w:w="15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Rate</w:t>
            </w:r>
          </w:p>
        </w:tc>
        <w:tc>
          <w:tcPr>
            <w:tcW w:type="dxa" w:w="19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 (₹ Lakhs)</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Civil Structure (RCC + Masonry)</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360 sq.m</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2,800/sq.ft</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109.0 L</w:t>
            </w:r>
          </w:p>
        </w:tc>
      </w:tr>
      <w:tr>
        <w:tc>
          <w:tcPr>
            <w:tcW w:type="dxa" w:w="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3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External Sandstone Cladding</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200 sq.m</w:t>
            </w:r>
          </w:p>
        </w:tc>
        <w:tc>
          <w:tcPr>
            <w:tcW w:type="dxa" w:w="1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1,200/sq.ft</w:t>
            </w:r>
          </w:p>
        </w:tc>
        <w:tc>
          <w:tcPr>
            <w:tcW w:type="dxa" w:w="19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26.0 L</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w:t>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Jharokha, Jali &amp; Chajja Elements</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LS</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18.0 L</w:t>
            </w:r>
          </w:p>
        </w:tc>
      </w:tr>
      <w:tr>
        <w:tc>
          <w:tcPr>
            <w:tcW w:type="dxa" w:w="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w:t>
            </w:r>
          </w:p>
        </w:tc>
        <w:tc>
          <w:tcPr>
            <w:tcW w:type="dxa" w:w="3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Flooring — Marble + Kota Stone</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360 sq.m</w:t>
            </w:r>
          </w:p>
        </w:tc>
        <w:tc>
          <w:tcPr>
            <w:tcW w:type="dxa" w:w="1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450/sq.ft</w:t>
            </w:r>
          </w:p>
        </w:tc>
        <w:tc>
          <w:tcPr>
            <w:tcW w:type="dxa" w:w="19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17.5 L</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5</w:t>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Teak Joinery (Doors + Windows)</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LS</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20.0 L</w:t>
            </w:r>
          </w:p>
        </w:tc>
      </w:tr>
      <w:tr>
        <w:tc>
          <w:tcPr>
            <w:tcW w:type="dxa" w:w="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w:t>
            </w:r>
          </w:p>
        </w:tc>
        <w:tc>
          <w:tcPr>
            <w:tcW w:type="dxa" w:w="3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Pivot Bookshelf Door (Special)</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 No.</w:t>
            </w:r>
          </w:p>
        </w:tc>
        <w:tc>
          <w:tcPr>
            <w:tcW w:type="dxa" w:w="1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3.5 L</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7</w:t>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Internal Plaster (Lime)</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720 sq.m</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180/sq.ft</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14.0 L</w:t>
            </w:r>
          </w:p>
        </w:tc>
      </w:tr>
      <w:tr>
        <w:tc>
          <w:tcPr>
            <w:tcW w:type="dxa" w:w="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8</w:t>
            </w:r>
          </w:p>
        </w:tc>
        <w:tc>
          <w:tcPr>
            <w:tcW w:type="dxa" w:w="3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Plumbing &amp; Sanitary</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LS</w:t>
            </w:r>
          </w:p>
        </w:tc>
        <w:tc>
          <w:tcPr>
            <w:tcW w:type="dxa" w:w="1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12.0 L</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9</w:t>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Electrical &amp; Lighting</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LS</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10.0 L</w:t>
            </w:r>
          </w:p>
        </w:tc>
      </w:tr>
      <w:tr>
        <w:tc>
          <w:tcPr>
            <w:tcW w:type="dxa" w:w="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w:t>
            </w:r>
          </w:p>
        </w:tc>
        <w:tc>
          <w:tcPr>
            <w:tcW w:type="dxa" w:w="3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HVAC / Air Conditioning</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 units</w:t>
            </w:r>
          </w:p>
        </w:tc>
        <w:tc>
          <w:tcPr>
            <w:tcW w:type="dxa" w:w="1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9.0 L</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11</w:t>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Waterproofing</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LS</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4.0 L</w:t>
            </w:r>
          </w:p>
        </w:tc>
      </w:tr>
      <w:tr>
        <w:tc>
          <w:tcPr>
            <w:tcW w:type="dxa" w:w="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w:t>
            </w:r>
          </w:p>
        </w:tc>
        <w:tc>
          <w:tcPr>
            <w:tcW w:type="dxa" w:w="3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Landscape &amp; Courtyard</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LS</w:t>
            </w:r>
          </w:p>
        </w:tc>
        <w:tc>
          <w:tcPr>
            <w:tcW w:type="dxa" w:w="1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8.0 L</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13</w:t>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Architect + Structural Fees</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6% of Civil</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8.0 L</w:t>
            </w:r>
          </w:p>
        </w:tc>
      </w:tr>
      <w:tr>
        <w:tc>
          <w:tcPr>
            <w:tcW w:type="dxa" w:w="6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14</w:t>
            </w:r>
          </w:p>
        </w:tc>
        <w:tc>
          <w:tcPr>
            <w:tcW w:type="dxa" w:w="3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Contingency (5%)</w:t>
            </w:r>
          </w:p>
        </w:tc>
        <w:tc>
          <w:tcPr>
            <w:tcW w:type="dxa" w:w="1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5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9.0 L</w:t>
            </w:r>
          </w:p>
        </w:tc>
      </w:tr>
      <w:tr>
        <w:tc>
          <w:tcPr>
            <w:tcW w:type="dxa" w:w="6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w:r>
          </w:p>
        </w:tc>
        <w:tc>
          <w:tcPr>
            <w:tcW w:type="dxa" w:w="3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TOTAL ESTIMATED COST</w:t>
            </w:r>
          </w:p>
        </w:tc>
        <w:tc>
          <w:tcPr>
            <w:tcW w:type="dxa" w:w="1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5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w:t>
            </w:r>
          </w:p>
        </w:tc>
        <w:tc>
          <w:tcPr>
            <w:tcW w:type="dxa" w:w="19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 ₹ 268 L</w:t>
            </w:r>
          </w:p>
        </w:tc>
      </w:tr>
    </w:tbl>
    <w:p>
      <w:pPr>
        <w:spacing w:after="120" w:before="80" w:line="300"/>
      </w:pPr>
      <w:r>
        <w:rPr>
          <w:rFonts w:ascii="Arial" w:cs="Arial" w:eastAsia="Arial" w:hAnsi="Arial"/>
          <w:color w:val="1A1A1A"/>
          <w:sz w:val="22"/>
          <w:szCs w:val="22"/>
        </w:rPr>
        <w:t xml:space="preserve">Note: All amounts are approximate and inclusive of materials and labour. Costs exclude land, government approvals/fees, and GST. Market rates as of Q2 2026.</w:t>
      </w:r>
    </w:p>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10. AutoCAD Drawing Brief Summary</w:t>
      </w:r>
    </w:p>
    <w:p>
      <w:pPr>
        <w:spacing w:after="120" w:before="80" w:line="300"/>
      </w:pPr>
      <w:r>
        <w:rPr>
          <w:rFonts w:ascii="Arial" w:cs="Arial" w:eastAsia="Arial" w:hAnsi="Arial"/>
          <w:color w:val="1A1A1A"/>
          <w:sz w:val="22"/>
          <w:szCs w:val="22"/>
        </w:rPr>
        <w:t xml:space="preserve">A comprehensive AutoCAD drawing package has been prepared covering all aspects of the architectural and structural design. The following seven-section brief governs the production of all CAD deliverables.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w:t>
            </w:r>
          </w:p>
        </w:tc>
        <w:tc>
          <w:tcPr>
            <w:tcW w:type="dxa" w:w="62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Section 1 — Vastu Zone Map</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Colour-coded overlay of the Vastu Purusha Mandala on the building plan showing all 9 directional zones with room assignments.</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Section 2 — Room Schedule</w:t>
            </w:r>
          </w:p>
        </w:tc>
        <w:tc>
          <w:tcPr>
            <w:tcW w:type="dxa" w:w="6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Complete tabulated room schedule for both floors: room name, zone, net area, finish schedule, and door/window references.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Section 3 — Layer Naming Standard</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CAD layer naming convention: A-WALL-EXT, A-WALL-INT, S-COLUMN, S-BEAM, A-DOOR, A-WINDOW, A-DIM, A-HATCH, A-NORTH.</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Section 4 — Vastu Checklist</w:t>
            </w:r>
          </w:p>
        </w:tc>
        <w:tc>
          <w:tcPr>
            <w:tcW w:type="dxa" w:w="6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18-point Vastu compliance checklist embedded as CAD text/table on the cover sheet.</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Section 5 — Rajasthani Elements Guide</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Reference drawings and details for Jharokha, Jali, Chajja, and Chowk — elevations, sections, and material annotations.</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Section 6 — Structural Grid</w:t>
            </w:r>
          </w:p>
        </w:tc>
        <w:tc>
          <w:tcPr>
            <w:tcW w:type="dxa" w:w="6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Column grid layout (A–G axes east–west; 1–5 axes north–south) with all beam references and slab panel designations.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Section 7 — Drawing List</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Full drawing index: site plan, GF plan, FF plan, roof plan, 4 elevations, 2 sections, staircase detail, hidden room detail, foundation plan.</w:t>
            </w:r>
          </w:p>
        </w:tc>
      </w:tr>
    </w:tbl>
    <w:p>
      <w:pPr>
        <w:spacing w:after="80" w:before="80"/>
      </w:pPr>
      <w:r>
        <w:t xml:space="preserve"/>
      </w:r>
    </w:p>
    <w:p>
      <w:pPr>
        <w:pStyle w:val="Heading2"/>
        <w:spacing w:after="140" w:before="280"/>
      </w:pPr>
      <w:r>
        <w:rPr>
          <w:rFonts w:ascii="Arial" w:cs="Arial" w:eastAsia="Arial" w:hAnsi="Arial"/>
          <w:b/>
          <w:bCs/>
          <w:color w:val="6B3A2A"/>
          <w:sz w:val="26"/>
          <w:szCs w:val="26"/>
        </w:rPr>
        <w:t xml:space="preserve">10.1  Drawing Sheet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62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Sheet Size</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A1 (841 × 594 mm) — all architectural; A1 / A0 for structural</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Scale — Plans</w:t>
            </w:r>
          </w:p>
        </w:tc>
        <w:tc>
          <w:tcPr>
            <w:tcW w:type="dxa" w:w="6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1:100 (overall), 1:50 (room details), 1:20 (construction details)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Scale — Elevations</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1:100 (overall), 1:50 (detail elevations)</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Scale — Sections</w:t>
            </w:r>
          </w:p>
        </w:tc>
        <w:tc>
          <w:tcPr>
            <w:tcW w:type="dxa" w:w="6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1:50 (all sections)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Dimension Units</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Millimetres (mm) with metres in parentheses where &gt; 1000 mm</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North Arrow</w:t>
            </w:r>
          </w:p>
        </w:tc>
        <w:tc>
          <w:tcPr>
            <w:tcW w:type="dxa" w:w="6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True north indicated on all plan drawings</w:t>
            </w:r>
          </w:p>
        </w:tc>
      </w:tr>
      <w:tr>
        <w:tc>
          <w:tcPr>
            <w:tcW w:type="dxa" w:w="28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Text Height</w:t>
            </w:r>
          </w:p>
        </w:tc>
        <w:tc>
          <w:tcPr>
            <w:tcW w:type="dxa" w:w="62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2.5 mm (notes), 3.5 mm (dimensions), 5.0 mm (room labels)</w:t>
            </w:r>
          </w:p>
        </w:tc>
      </w:tr>
      <w:tr>
        <w:tc>
          <w:tcPr>
            <w:tcW w:type="dxa" w:w="28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Title Block</w:t>
            </w:r>
          </w:p>
        </w:tc>
        <w:tc>
          <w:tcPr>
            <w:tcW w:type="dxa" w:w="62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Project name, drawing title, scale, revision, date, draughtsman</w:t>
            </w:r>
          </w:p>
        </w:tc>
      </w:tr>
    </w:tbl>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11. Sustainability &amp; Green Design Strategies</w:t>
      </w:r>
    </w:p>
    <w:p>
      <w:pPr>
        <w:spacing w:after="120" w:before="80" w:line="300"/>
      </w:pPr>
      <w:r>
        <w:rPr>
          <w:rFonts w:ascii="Arial" w:cs="Arial" w:eastAsia="Arial" w:hAnsi="Arial"/>
          <w:color w:val="1A1A1A"/>
          <w:sz w:val="22"/>
          <w:szCs w:val="22"/>
        </w:rPr>
        <w:t xml:space="preserve">The design incorporates multiple passive and active sustainability strategies appropriate to the hot-dry climate of Rajasthan, reducing energy consumption, conserving water, and improving occupant comfort.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c>
          <w:tcPr>
            <w:tcW w:type="dxa" w:w="3000"/>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w:t>
            </w:r>
          </w:p>
        </w:tc>
        <w:tc>
          <w:tcPr>
            <w:tcW w:type="dxa" w:w="3826"/>
            <w:tcBorders>
              <w:top w:val="single" w:color="B07A50" w:sz="1"/>
              <w:left w:val="single" w:color="B07A50" w:sz="1"/>
              <w:bottom w:val="single" w:color="B07A50" w:sz="1"/>
              <w:right w:val="single" w:color="B07A50" w:sz="1"/>
            </w:tcBorders>
            <w:shd w:fill="6B3A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Benefit</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Solar Shading</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Chajja 450–600 mm + deep-set windows</w:t>
            </w:r>
          </w:p>
        </w:tc>
        <w:tc>
          <w:tcPr>
            <w:tcW w:type="dxa" w:w="3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Reduces solar heat gain by 40%</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Natural Ventilation</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Jali screens + Chowk stack effect</w:t>
            </w:r>
          </w:p>
        </w:tc>
        <w:tc>
          <w:tcPr>
            <w:tcW w:type="dxa" w:w="3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Reduces AC runtime by 15–20%</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Thermal Mass</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230 mm brick walls + lime plaster</w:t>
            </w:r>
          </w:p>
        </w:tc>
        <w:tc>
          <w:tcPr>
            <w:tcW w:type="dxa" w:w="3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3–4 hr thermal lag in summer</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Rainwater Harvest</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Courtyard to underground sump (8 KL)</w:t>
            </w:r>
          </w:p>
        </w:tc>
        <w:tc>
          <w:tcPr>
            <w:tcW w:type="dxa" w:w="3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Approx. 80 KL/yr collection</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Solar Water Heating</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200 LPD rooftop solar system</w:t>
            </w:r>
          </w:p>
        </w:tc>
        <w:tc>
          <w:tcPr>
            <w:tcW w:type="dxa" w:w="3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70% hot water energy saving</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LED Lighting</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 LED, warm 2700K throughout</w:t>
            </w:r>
          </w:p>
        </w:tc>
        <w:tc>
          <w:tcPr>
            <w:tcW w:type="dxa" w:w="3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60% less lighting energy</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Roof Insulation</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75 mm EPS + Shahabad stone terrace finish</w:t>
            </w:r>
          </w:p>
        </w:tc>
        <w:tc>
          <w:tcPr>
            <w:tcW w:type="dxa" w:w="3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Reduces roof heat gain by 50%</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Native Planting</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Tulsi, Neem, Bougainvillea in courtyard</w:t>
            </w:r>
          </w:p>
        </w:tc>
        <w:tc>
          <w:tcPr>
            <w:tcW w:type="dxa" w:w="3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Evaporative cooling + shade</w:t>
            </w:r>
          </w:p>
        </w:tc>
      </w:tr>
      <w:tr>
        <w:tc>
          <w:tcPr>
            <w:tcW w:type="dxa" w:w="22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Low-VOC Paints</w:t>
            </w:r>
          </w:p>
        </w:tc>
        <w:tc>
          <w:tcPr>
            <w:tcW w:type="dxa" w:w="3000"/>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Lime wash exterior + low-VOC interior</w:t>
            </w:r>
          </w:p>
        </w:tc>
        <w:tc>
          <w:tcPr>
            <w:tcW w:type="dxa" w:w="3826"/>
            <w:tcBorders>
              <w:top w:val="single" w:color="D0B090" w:sz="1"/>
              <w:left w:val="single" w:color="D0B090" w:sz="1"/>
              <w:bottom w:val="single" w:color="D0B090" w:sz="1"/>
              <w:right w:val="single" w:color="D0B090" w:sz="1"/>
            </w:tcBorders>
            <w:shd w:fill="F9EFE4" w:val="clear"/>
            <w:tcMar>
              <w:top w:type="dxa" w:w="80"/>
              <w:left w:type="dxa" w:w="140"/>
              <w:bottom w:type="dxa" w:w="80"/>
              <w:right w:type="dxa" w:w="140"/>
            </w:tcMar>
            <w:vAlign w:val="center"/>
          </w:tcPr>
          <w:p>
            <w:r>
              <w:rPr>
                <w:rFonts w:ascii="Arial" w:cs="Arial" w:eastAsia="Arial" w:hAnsi="Arial"/>
                <w:color w:val="1A1A1A"/>
                <w:sz w:val="20"/>
                <w:szCs w:val="20"/>
              </w:rPr>
              <w:t xml:space="preserve">Better IAQ for occupants</w:t>
            </w:r>
          </w:p>
        </w:tc>
      </w:tr>
      <w:tr>
        <w:tc>
          <w:tcPr>
            <w:tcW w:type="dxa" w:w="22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EV Provision</w:t>
            </w:r>
          </w:p>
        </w:tc>
        <w:tc>
          <w:tcPr>
            <w:tcW w:type="dxa" w:w="3000"/>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Conduit + 32A circuit at carport</w:t>
            </w:r>
          </w:p>
        </w:tc>
        <w:tc>
          <w:tcPr>
            <w:tcW w:type="dxa" w:w="3826"/>
            <w:tcBorders>
              <w:top w:val="single" w:color="D0B090" w:sz="1"/>
              <w:left w:val="single" w:color="D0B090" w:sz="1"/>
              <w:bottom w:val="single" w:color="D0B090" w:sz="1"/>
              <w:right w:val="single" w:color="D0B090"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Future EV charging ready</w:t>
            </w:r>
          </w:p>
        </w:tc>
      </w:tr>
    </w:tbl>
    <w:p>
      <w:r>
        <w:br/>
        <w:t xml:space="preserve"/>
      </w:r>
      <w:r>
        <w:br w:type="page"/>
      </w:r>
    </w:p>
    <w:p>
      <w:pPr>
        <w:pStyle w:val="Heading1"/>
        <w:pBdr>
          <w:bottom w:val="single" w:color="C8A97E" w:sz="4" w:space="6"/>
        </w:pBdr>
        <w:spacing w:after="200" w:before="360"/>
      </w:pPr>
      <w:r>
        <w:rPr>
          <w:rFonts w:ascii="Arial" w:cs="Arial" w:eastAsia="Arial" w:hAnsi="Arial"/>
          <w:b/>
          <w:bCs/>
          <w:color w:val="8B1A1A"/>
          <w:sz w:val="32"/>
          <w:szCs w:val="32"/>
        </w:rPr>
        <w:t xml:space="preserve">12. Conclusion</w:t>
      </w:r>
    </w:p>
    <w:p>
      <w:pPr>
        <w:spacing w:after="120" w:before="80" w:line="300"/>
      </w:pPr>
      <w:r>
        <w:rPr>
          <w:rFonts w:ascii="Arial" w:cs="Arial" w:eastAsia="Arial" w:hAnsi="Arial"/>
          <w:color w:val="1A1A1A"/>
          <w:sz w:val="22"/>
          <w:szCs w:val="22"/>
        </w:rPr>
        <w:t xml:space="preserve">The G+1 Luxury Residence designed for Goutam in Rajasthan represents a thoughtful synthesis of three traditions: the ancient spatial wisdom of Vastu Shastra, the rich architectural heritage of Rajputana, and the rigor of contemporary structural engineering.</w:t>
      </w:r>
    </w:p>
    <w:p>
      <w:pPr>
        <w:spacing w:after="120" w:before="80" w:line="300"/>
      </w:pPr>
      <w:r>
        <w:rPr>
          <w:rFonts w:ascii="Arial" w:cs="Arial" w:eastAsia="Arial" w:hAnsi="Arial"/>
          <w:color w:val="1A1A1A"/>
          <w:sz w:val="22"/>
          <w:szCs w:val="22"/>
        </w:rPr>
        <w:t xml:space="preserve">Every room in the design serves a deliberate purpose — spatially, environmentally, and spiritually. The east-facing entrance draws in the morning sun and prosperity of the Indra zone; the central Chowk breathes life and air into every room it touches; the hidden study behind its pivot bookshelf door honours the Rajasthani tradition of the 'guptaghar' — the secret chamber found in many old havelis.</w:t>
      </w:r>
    </w:p>
    <w:p>
      <w:pPr>
        <w:spacing w:after="120" w:before="80" w:line="300"/>
      </w:pPr>
      <w:r>
        <w:rPr>
          <w:rFonts w:ascii="Arial" w:cs="Arial" w:eastAsia="Arial" w:hAnsi="Arial"/>
          <w:color w:val="1A1A1A"/>
          <w:sz w:val="22"/>
          <w:szCs w:val="22"/>
        </w:rPr>
        <w:t xml:space="preserve">The structural system, verified through STAAD.Pro, ensures the building performs safely under all applicable Indian Standard load combinations including seismic and wind. The material palette — Jodhpur sandstone, Makrana marble, Kota stone, and seasoned teak — is not merely decorative but a continuation of a construction tradition refined over centuries in this very landscape.</w:t>
      </w:r>
    </w:p>
    <w:p>
      <w:pPr>
        <w:spacing w:after="120" w:before="80" w:line="300"/>
      </w:pPr>
      <w:r>
        <w:rPr>
          <w:rFonts w:ascii="Arial" w:cs="Arial" w:eastAsia="Arial" w:hAnsi="Arial"/>
          <w:color w:val="1A1A1A"/>
          <w:sz w:val="22"/>
          <w:szCs w:val="22"/>
        </w:rPr>
        <w:t xml:space="preserve">This report, together with the AutoCAD drawing brief and interactive floor plans, forms the complete project documentation package, ready for detailed design development, statutory approvals, and construction.</w:t>
      </w:r>
    </w:p>
    <w:p>
      <w:pPr>
        <w:spacing w:after="80" w:before="80"/>
      </w:pPr>
      <w:r>
        <w:t xml:space="preserve"/>
      </w:r>
    </w:p>
    <w:p>
      <w:pPr>
        <w:spacing w:after="80" w:before="80"/>
      </w:pPr>
      <w:r>
        <w:t xml:space="preserve"/>
      </w:r>
    </w:p>
    <w:p>
      <w:pPr>
        <w:pBdr>
          <w:bottom w:val="single" w:color="C8A97E" w:sz="2" w:space="1"/>
        </w:pBdr>
        <w:spacing w:after="200" w:before="200"/>
      </w:pPr>
      <w:r>
        <w:t xml:space="preserve"/>
      </w:r>
    </w:p>
    <w:p>
      <w:pPr>
        <w:spacing w:after="80" w:before="80"/>
      </w:pPr>
      <w:r>
        <w:t xml:space="preserve"/>
      </w:r>
    </w:p>
    <w:p>
      <w:pPr>
        <w:spacing w:after="60" w:before="120"/>
        <w:jc w:val="center"/>
      </w:pPr>
      <w:r>
        <w:rPr>
          <w:rFonts w:ascii="Arial" w:cs="Arial" w:eastAsia="Arial" w:hAnsi="Arial"/>
          <w:b/>
          <w:bCs/>
          <w:color w:val="8B1A1A"/>
          <w:sz w:val="22"/>
          <w:szCs w:val="22"/>
        </w:rPr>
        <w:t xml:space="preserve">— END OF REPORT —</w:t>
      </w:r>
    </w:p>
    <w:p>
      <w:pPr>
        <w:jc w:val="center"/>
      </w:pPr>
      <w:r>
        <w:rPr>
          <w:rFonts w:ascii="Arial" w:cs="Arial" w:eastAsia="Arial" w:hAnsi="Arial"/>
          <w:i/>
          <w:iCs/>
          <w:color w:val="555555"/>
          <w:sz w:val="18"/>
          <w:szCs w:val="18"/>
        </w:rPr>
        <w:t xml:space="preserve">G+1 Luxury Residence · Rajasthan, India · June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7E" w:sz="2" w:space="4"/>
      </w:pBdr>
      <w:tabs>
        <w:tab w:val="center" w:pos="4513"/>
        <w:tab w:val="right" w:pos="9026"/>
      </w:tabs>
      <w:spacing w:after="0" w:before="100"/>
    </w:pPr>
    <w:r>
      <w:rPr>
        <w:rFonts w:ascii="Arial" w:cs="Arial" w:eastAsia="Arial" w:hAnsi="Arial"/>
        <w:color w:val="555555"/>
        <w:sz w:val="16"/>
        <w:szCs w:val="16"/>
      </w:rPr>
      <w:t xml:space="preserve">Confidential · All Rights Reserved</w:t>
    </w:r>
    <w:r>
      <w:rPr>
        <w:rFonts w:ascii="Arial" w:cs="Arial" w:eastAsia="Arial" w:hAnsi="Arial"/>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sz w:val="16"/>
        <w:szCs w:val="16"/>
      </w:rPr>
      <w:t xml:space="preserve">	</w:t>
    </w:r>
    <w:r>
      <w:rPr>
        <w:rFonts w:ascii="Arial" w:cs="Arial" w:eastAsia="Arial" w:hAnsi="Arial"/>
        <w:color w:val="555555"/>
        <w:sz w:val="16"/>
        <w:szCs w:val="16"/>
      </w:rPr>
      <w:t xml:space="preserve">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7E" w:sz="2" w:space="4"/>
      </w:pBdr>
      <w:tabs>
        <w:tab w:val="right" w:pos="9026"/>
      </w:tabs>
      <w:spacing w:after="100" w:before="0"/>
    </w:pPr>
    <w:r>
      <w:rPr>
        <w:rFonts w:ascii="Arial" w:cs="Arial" w:eastAsia="Arial" w:hAnsi="Arial"/>
        <w:color w:val="555555"/>
        <w:sz w:val="18"/>
        <w:szCs w:val="18"/>
      </w:rPr>
      <w:t xml:space="preserve">G+1 Luxury Residence — Rajasthan</w:t>
    </w:r>
    <w:r>
      <w:rPr>
        <w:rFonts w:ascii="Arial" w:cs="Arial" w:eastAsia="Arial" w:hAnsi="Arial"/>
        <w:sz w:val="18"/>
        <w:szCs w:val="18"/>
      </w:rPr>
      <w:t xml:space="preserve">	</w:t>
    </w:r>
    <w:r>
      <w:rPr>
        <w:rFonts w:ascii="Arial" w:cs="Arial" w:eastAsia="Arial" w:hAnsi="Arial"/>
        <w:i/>
        <w:iCs/>
        <w:color w:val="555555"/>
        <w:sz w:val="18"/>
        <w:szCs w:val="18"/>
      </w:rPr>
      <w:t xml:space="preserve">Comprehensive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6B3A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271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2026-06-06T03:25:03.302Z</dcterms:created>
  <dcterms:modified xsi:type="dcterms:W3CDTF">2026-06-06T03:25:03.311Z</dcterms:modified>
</cp:coreProperties>
</file>

<file path=docProps/custom.xml><?xml version="1.0" encoding="utf-8"?>
<Properties xmlns="http://schemas.openxmlformats.org/officeDocument/2006/custom-properties" xmlns:vt="http://schemas.openxmlformats.org/officeDocument/2006/docPropsVTypes"/>
</file>