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2E3423" w:rsidRDefault="00346AFC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42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[1] D. Quinn and R. Day, “Drug interactions of clinical importance,”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i/>
          <w:iCs/>
          <w:sz w:val="28"/>
          <w:szCs w:val="28"/>
        </w:rPr>
        <w:t>Drug safety</w:t>
      </w:r>
      <w:r w:rsidRPr="002E3423">
        <w:rPr>
          <w:rFonts w:ascii="Times New Roman" w:hAnsi="Times New Roman" w:cs="Times New Roman"/>
          <w:sz w:val="28"/>
          <w:szCs w:val="28"/>
        </w:rPr>
        <w:t>, vol. 12, no. 6, pp. 393–452, 1995.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[2] 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Prueksaritanont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X. Chu, C. Gibson, D. Cui, K. L. Yee, J. Ballard,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Cabalu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Hochman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“Drug–drug interaction studies: Regulatory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guidance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and an industry perspective,”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The AAPS journal</w:t>
      </w:r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vol. 15, no. 3, pp. 629–645, 2013.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[3] H.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Kusuhara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“How far should we go? </w:t>
      </w:r>
      <w:proofErr w:type="gramStart"/>
      <w:r w:rsidRPr="002E3423">
        <w:rPr>
          <w:rFonts w:ascii="Times New Roman" w:hAnsi="Times New Roman" w:cs="Times New Roman"/>
          <w:sz w:val="28"/>
          <w:szCs w:val="28"/>
        </w:rPr>
        <w:t>perspective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of drug-drug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interaction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studies in drug development,”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Drug metabolism and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pharmacokinetics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, vol. 29, no. 3, pp. 227–228, 2014.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[4] N.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Crowther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A. M. Holbrook,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Kenwright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Kenwright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“Drug interactions among commonly used medications.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3423">
        <w:rPr>
          <w:rFonts w:ascii="Times New Roman" w:hAnsi="Times New Roman" w:cs="Times New Roman"/>
          <w:sz w:val="28"/>
          <w:szCs w:val="28"/>
        </w:rPr>
        <w:t>chart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simplifies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data from critical literature review.”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Canadian Family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Physician</w:t>
      </w:r>
      <w:r w:rsidRPr="002E3423">
        <w:rPr>
          <w:rFonts w:ascii="Times New Roman" w:hAnsi="Times New Roman" w:cs="Times New Roman"/>
          <w:sz w:val="28"/>
          <w:szCs w:val="28"/>
        </w:rPr>
        <w:t>, vol. 43, p. 1972, 1997.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3423">
        <w:rPr>
          <w:rFonts w:ascii="Times New Roman" w:hAnsi="Times New Roman" w:cs="Times New Roman"/>
          <w:sz w:val="28"/>
          <w:szCs w:val="28"/>
        </w:rPr>
        <w:t xml:space="preserve">[5]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Nahta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M.-C.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Hung, and F.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Esteva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</w:t>
      </w:r>
      <w:proofErr w:type="gramStart"/>
      <w:r w:rsidRPr="002E3423">
        <w:rPr>
          <w:rFonts w:ascii="Times New Roman" w:hAnsi="Times New Roman" w:cs="Times New Roman"/>
          <w:sz w:val="28"/>
          <w:szCs w:val="28"/>
        </w:rPr>
        <w:t>The her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-2-targeting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antibodies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trastuzumab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pertuzumab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synergistically inhibit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survival of breast cancer cells,”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Cancer research</w:t>
      </w:r>
      <w:r w:rsidRPr="002E3423">
        <w:rPr>
          <w:rFonts w:ascii="Times New Roman" w:hAnsi="Times New Roman" w:cs="Times New Roman"/>
          <w:sz w:val="28"/>
          <w:szCs w:val="28"/>
        </w:rPr>
        <w:t>, vol. 64, no. 7,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pp. 2343–2346, 2004.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[6] T.-C. Chou, “Drug combination studies and their synergy quantification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chou-talalay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method,”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Cancer research</w:t>
      </w:r>
      <w:r w:rsidRPr="002E3423">
        <w:rPr>
          <w:rFonts w:ascii="Times New Roman" w:hAnsi="Times New Roman" w:cs="Times New Roman"/>
          <w:sz w:val="28"/>
          <w:szCs w:val="28"/>
        </w:rPr>
        <w:t>, vol. 70,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. 2, pp. 440–446, 2010.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[7] K.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Venkatakrishnan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L. L. von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Moltke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Obach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D.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Greenblatt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“Drug metabolism and drug interactions: application and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clinical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value of in vitro models,”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Current drug metabolism</w:t>
      </w:r>
      <w:r w:rsidRPr="002E3423">
        <w:rPr>
          <w:rFonts w:ascii="Times New Roman" w:hAnsi="Times New Roman" w:cs="Times New Roman"/>
          <w:sz w:val="28"/>
          <w:szCs w:val="28"/>
        </w:rPr>
        <w:t>, vol. 4,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. 5, pp. 423–459, 2003.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[8] P.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Neuvonen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Niemi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J. 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Backman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“Drug interactions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lastRenderedPageBreak/>
        <w:t>with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lipid-lowering drugs: mechanisms and clinical relevance,”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i/>
          <w:iCs/>
          <w:sz w:val="28"/>
          <w:szCs w:val="28"/>
        </w:rPr>
        <w:t>Clinical Pharmacology &amp; Therapeutics</w:t>
      </w:r>
      <w:r w:rsidRPr="002E3423">
        <w:rPr>
          <w:rFonts w:ascii="Times New Roman" w:hAnsi="Times New Roman" w:cs="Times New Roman"/>
          <w:sz w:val="28"/>
          <w:szCs w:val="28"/>
        </w:rPr>
        <w:t>, vol. 80, no. 6, pp. 565–581,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2006.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[9] Y. B¨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ottiger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Laine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M. L.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Andersson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Korhonen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Molin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M.-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Ovesj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¨ o, 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Tirkkonen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Rane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L. L.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Gustafsson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B.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Eiermann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Sfinxła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drug-drug interaction database designed for clinical decision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support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systems,”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European journal of clinical pharmacology</w:t>
      </w:r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vol. 65, no. 6, pp. 627–633, 2009.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[10] M. P.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Pai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D. M.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Graci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G. W.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Amsden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Macrolide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drug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interactions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: an update,”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Annals of Pharmacotherapy</w:t>
      </w:r>
      <w:r w:rsidRPr="002E3423">
        <w:rPr>
          <w:rFonts w:ascii="Times New Roman" w:hAnsi="Times New Roman" w:cs="Times New Roman"/>
          <w:sz w:val="28"/>
          <w:szCs w:val="28"/>
        </w:rPr>
        <w:t>, vol. 34, no. 4,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pp. 495–513, 2000.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[11]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Kuhlmann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andW.M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¨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uck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“Clinical-pharmacological strategies to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assess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drug interaction potential during drug development,”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Drug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safety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, vol. 24, no. 10, pp. 715–725, 2001.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[12]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Preskorn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Werder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“Detrimental antidepressant drug–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drug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interactions: Are they clinically relevant?” </w:t>
      </w:r>
      <w:proofErr w:type="spell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Neuropsychopharmacology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vol. 31, no. 8, pp. 1605–1612, 2006.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[13] D. Sridhar,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Fakhraei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L.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Getoor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“A probabilistic approach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collective similarity-based drug–drug interaction prediction,”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Bioinformatics</w:t>
      </w:r>
      <w:r w:rsidRPr="002E3423">
        <w:rPr>
          <w:rFonts w:ascii="Times New Roman" w:hAnsi="Times New Roman" w:cs="Times New Roman"/>
          <w:sz w:val="28"/>
          <w:szCs w:val="28"/>
        </w:rPr>
        <w:t>, vol. 32, no. 20, pp. 3175–3182, 2016.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[14]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Ekins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A.Wrighton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“Application of in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silico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approaches to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predicting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drug–drug interactions,”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Journal of pharmacological and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toxicological</w:t>
      </w:r>
      <w:proofErr w:type="gramEnd"/>
      <w:r w:rsidRPr="002E3423">
        <w:rPr>
          <w:rFonts w:ascii="Times New Roman" w:hAnsi="Times New Roman" w:cs="Times New Roman"/>
          <w:i/>
          <w:iCs/>
          <w:sz w:val="28"/>
          <w:szCs w:val="28"/>
        </w:rPr>
        <w:t xml:space="preserve"> methods</w:t>
      </w:r>
      <w:r w:rsidRPr="002E3423">
        <w:rPr>
          <w:rFonts w:ascii="Times New Roman" w:hAnsi="Times New Roman" w:cs="Times New Roman"/>
          <w:sz w:val="28"/>
          <w:szCs w:val="28"/>
        </w:rPr>
        <w:t>, vol. 45, no. 1, pp. 65–69, 2001.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[15] G. Jin, H. Zhao, X. Zhou, and S. T. Wong, “An enhanced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petri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-net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to predict synergistic effects of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drug combinations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gene microarray data,”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Bioinformatics</w:t>
      </w:r>
      <w:r w:rsidRPr="002E3423">
        <w:rPr>
          <w:rFonts w:ascii="Times New Roman" w:hAnsi="Times New Roman" w:cs="Times New Roman"/>
          <w:sz w:val="28"/>
          <w:szCs w:val="28"/>
        </w:rPr>
        <w:t>, vol. 27, no. 13, pp.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i310–i316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, 2011.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lastRenderedPageBreak/>
        <w:t xml:space="preserve">[16]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Ferdousi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Safdari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Omidi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“Computational prediction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drug-drug interactions based on drugs functional similarities,”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Journal of Biomedical Informatics</w:t>
      </w:r>
      <w:r w:rsidRPr="002E3423">
        <w:rPr>
          <w:rFonts w:ascii="Times New Roman" w:hAnsi="Times New Roman" w:cs="Times New Roman"/>
          <w:sz w:val="28"/>
          <w:szCs w:val="28"/>
        </w:rPr>
        <w:t>, vol. 70, pp. 54–64, 2017.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[17]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Safdari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Ferdousi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Aziziheris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S.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Niakan-Kalhori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and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Y.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Omidi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“Computerized techniques pave the way for drug-drug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interaction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prediction and interpretation,” </w:t>
      </w:r>
      <w:proofErr w:type="spell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BioImpacts</w:t>
      </w:r>
      <w:proofErr w:type="spellEnd"/>
      <w:r w:rsidRPr="002E3423">
        <w:rPr>
          <w:rFonts w:ascii="Times New Roman" w:hAnsi="Times New Roman" w:cs="Times New Roman"/>
          <w:i/>
          <w:iCs/>
          <w:sz w:val="28"/>
          <w:szCs w:val="28"/>
        </w:rPr>
        <w:t>: BI</w:t>
      </w:r>
      <w:r w:rsidRPr="002E3423">
        <w:rPr>
          <w:rFonts w:ascii="Times New Roman" w:hAnsi="Times New Roman" w:cs="Times New Roman"/>
          <w:sz w:val="28"/>
          <w:szCs w:val="28"/>
        </w:rPr>
        <w:t>, vol. 6,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. 2, p. 71, 2016.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[18] N. P.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Tatonetti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G. H. Fernald, and R. B. Altman, “A novel signal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algorithm for identifying hidden drug-drug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interactionsin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adverse event reports,”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Journal of the American Medical Informatics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Association</w:t>
      </w:r>
      <w:r w:rsidRPr="002E3423">
        <w:rPr>
          <w:rFonts w:ascii="Times New Roman" w:hAnsi="Times New Roman" w:cs="Times New Roman"/>
          <w:sz w:val="28"/>
          <w:szCs w:val="28"/>
        </w:rPr>
        <w:t>, vol. 19, no. 1, pp. 79–85, 2011.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[19] A. Gottlieb, G. Y. Stein, Y.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Oron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Ruppin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Sharan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“Indi: a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computational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framework for inferring drug interactions and their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associated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recommendations,”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Molecular systems biology</w:t>
      </w:r>
      <w:r w:rsidRPr="002E3423">
        <w:rPr>
          <w:rFonts w:ascii="Times New Roman" w:hAnsi="Times New Roman" w:cs="Times New Roman"/>
          <w:sz w:val="28"/>
          <w:szCs w:val="28"/>
        </w:rPr>
        <w:t>, vol. 8,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. 1, p. 592, 2012.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[20] S. Yamazaki, T. R. Johnson, and B. J. Smith, “Prediction of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drugdrug</w:t>
      </w:r>
      <w:proofErr w:type="spell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interactions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crizotinib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as the cyp3a substrate using a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physiologically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based pharmacokinetic model,”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Drug Metabolism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gramEnd"/>
      <w:r w:rsidRPr="002E3423">
        <w:rPr>
          <w:rFonts w:ascii="Times New Roman" w:hAnsi="Times New Roman" w:cs="Times New Roman"/>
          <w:i/>
          <w:iCs/>
          <w:sz w:val="28"/>
          <w:szCs w:val="28"/>
        </w:rPr>
        <w:t xml:space="preserve"> Disposition</w:t>
      </w:r>
      <w:r w:rsidRPr="002E3423">
        <w:rPr>
          <w:rFonts w:ascii="Times New Roman" w:hAnsi="Times New Roman" w:cs="Times New Roman"/>
          <w:sz w:val="28"/>
          <w:szCs w:val="28"/>
        </w:rPr>
        <w:t>, vol. 43, no. 10, pp. 1417–1429, 2015.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[21] L.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Tari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S. Anwar, S. Liang, J. </w:t>
      </w:r>
      <w:proofErr w:type="spellStart"/>
      <w:proofErr w:type="gramStart"/>
      <w:r w:rsidRPr="002E3423">
        <w:rPr>
          <w:rFonts w:ascii="Times New Roman" w:hAnsi="Times New Roman" w:cs="Times New Roman"/>
          <w:sz w:val="28"/>
          <w:szCs w:val="28"/>
        </w:rPr>
        <w:t>Cai</w:t>
      </w:r>
      <w:proofErr w:type="spellEnd"/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Baral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“Discovering drug–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drug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interactions: a text-mining and reasoning approach based on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properties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of drug metabolism,”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Bioinformatics</w:t>
      </w:r>
      <w:r w:rsidRPr="002E3423">
        <w:rPr>
          <w:rFonts w:ascii="Times New Roman" w:hAnsi="Times New Roman" w:cs="Times New Roman"/>
          <w:sz w:val="28"/>
          <w:szCs w:val="28"/>
        </w:rPr>
        <w:t>, vol. 26, no. 18, pp.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i547–i553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>, 2010.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[22]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Vilar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Harpaz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Uriarte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L. Santana, R.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Rabadan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and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C. Friedman, “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Drugłdrug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 interaction through molecular structure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similarity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analysis,”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Journal of the American Medical Informatics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i/>
          <w:iCs/>
          <w:sz w:val="28"/>
          <w:szCs w:val="28"/>
        </w:rPr>
        <w:t>Association</w:t>
      </w:r>
      <w:r w:rsidRPr="002E3423">
        <w:rPr>
          <w:rFonts w:ascii="Times New Roman" w:hAnsi="Times New Roman" w:cs="Times New Roman"/>
          <w:sz w:val="28"/>
          <w:szCs w:val="28"/>
        </w:rPr>
        <w:t>, vol. 19, no. 6, pp. 1066–1074, 2012.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lastRenderedPageBreak/>
        <w:t xml:space="preserve">[23] S.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Vilar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Uriarte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L. Santana, T.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Lorberbaum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Hripcsak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C. Friedman, and N. P.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Tatonetti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 “Similarity-based modeling in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large-scale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prediction of drug-drug interactions,”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Nature protocols</w:t>
      </w:r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vol. 9, no. 9, pp. 2147–2163, 2014.</w:t>
      </w:r>
      <w:proofErr w:type="gramEnd"/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[24] F. Cheng and Z. Zhao, “Machine learning-based prediction of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drug–drug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interactions by integrating drug phenotypic, therapeutic,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chemical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, and genomic properties,”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Journal of the American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i/>
          <w:iCs/>
          <w:sz w:val="28"/>
          <w:szCs w:val="28"/>
        </w:rPr>
        <w:t>Medical Informatics Association</w:t>
      </w:r>
      <w:r w:rsidRPr="002E3423">
        <w:rPr>
          <w:rFonts w:ascii="Times New Roman" w:hAnsi="Times New Roman" w:cs="Times New Roman"/>
          <w:sz w:val="28"/>
          <w:szCs w:val="28"/>
        </w:rPr>
        <w:t>, vol. 21, no. e2, pp. e278–e286, 2014.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[25] P. Li, C. Huang, Y. Fu, J. Wang, Z. Wu, J.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 xml:space="preserve">, Z. </w:t>
      </w:r>
      <w:proofErr w:type="spellStart"/>
      <w:r w:rsidRPr="002E3423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2E3423">
        <w:rPr>
          <w:rFonts w:ascii="Times New Roman" w:hAnsi="Times New Roman" w:cs="Times New Roman"/>
          <w:sz w:val="28"/>
          <w:szCs w:val="28"/>
        </w:rPr>
        <w:t>,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 xml:space="preserve">X. Chen, W. Zhou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2E3423">
        <w:rPr>
          <w:rFonts w:ascii="Times New Roman" w:hAnsi="Times New Roman" w:cs="Times New Roman"/>
          <w:sz w:val="28"/>
          <w:szCs w:val="28"/>
        </w:rPr>
        <w:t>, “Large-scale exploration and analysis of</w:t>
      </w:r>
    </w:p>
    <w:p w:rsidR="002E3423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3423">
        <w:rPr>
          <w:rFonts w:ascii="Times New Roman" w:hAnsi="Times New Roman" w:cs="Times New Roman"/>
          <w:sz w:val="28"/>
          <w:szCs w:val="28"/>
        </w:rPr>
        <w:t>drug</w:t>
      </w:r>
      <w:proofErr w:type="gramEnd"/>
      <w:r w:rsidRPr="002E3423">
        <w:rPr>
          <w:rFonts w:ascii="Times New Roman" w:hAnsi="Times New Roman" w:cs="Times New Roman"/>
          <w:sz w:val="28"/>
          <w:szCs w:val="28"/>
        </w:rPr>
        <w:t xml:space="preserve"> combinations,” </w:t>
      </w:r>
      <w:r w:rsidRPr="002E3423">
        <w:rPr>
          <w:rFonts w:ascii="Times New Roman" w:hAnsi="Times New Roman" w:cs="Times New Roman"/>
          <w:i/>
          <w:iCs/>
          <w:sz w:val="28"/>
          <w:szCs w:val="28"/>
        </w:rPr>
        <w:t>Bioinformatics</w:t>
      </w:r>
      <w:r w:rsidRPr="002E3423">
        <w:rPr>
          <w:rFonts w:ascii="Times New Roman" w:hAnsi="Times New Roman" w:cs="Times New Roman"/>
          <w:sz w:val="28"/>
          <w:szCs w:val="28"/>
        </w:rPr>
        <w:t>, vol. 31, no. 12, pp. 2007–2016,</w:t>
      </w:r>
    </w:p>
    <w:p w:rsidR="00E7362F" w:rsidRPr="002E3423" w:rsidRDefault="002E3423" w:rsidP="002E34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423">
        <w:rPr>
          <w:rFonts w:ascii="Times New Roman" w:hAnsi="Times New Roman" w:cs="Times New Roman"/>
          <w:sz w:val="28"/>
          <w:szCs w:val="28"/>
        </w:rPr>
        <w:t>2015.</w:t>
      </w:r>
    </w:p>
    <w:sectPr w:rsidR="00E7362F" w:rsidRPr="002E342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E3423"/>
    <w:rsid w:val="00323BEB"/>
    <w:rsid w:val="00346AFC"/>
    <w:rsid w:val="003C0441"/>
    <w:rsid w:val="004D35B6"/>
    <w:rsid w:val="00643315"/>
    <w:rsid w:val="006513A4"/>
    <w:rsid w:val="0086155A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2022-11-24T05:57:00Z</dcterms:modified>
</cp:coreProperties>
</file>