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GBP1 作为结核病免疫调控中枢的跨组学发现与治疗转化</w:t>
        <w:br/>
        <w:t>—— 多数据库整合分析研究方案</w:t>
      </w:r>
    </w:p>
    <w:p>
      <w:pPr>
        <w:jc w:val="center"/>
      </w:pPr>
      <w:r>
        <w:rPr>
          <w:sz w:val="22"/>
        </w:rPr>
        <w:t>第一作者：勾雨轩  |  通讯作者：吴江东  |  新疆第二医学院</w:t>
      </w:r>
    </w:p>
    <w:p/>
    <w:p>
      <w:pPr>
        <w:pStyle w:val="Heading1"/>
      </w:pPr>
      <w:r>
        <w:t>一、研究背景与科学问题</w:t>
      </w:r>
    </w:p>
    <w:p>
      <w:r>
        <w:t>结核病（TB）仍是全球传染病死亡的主要原因之一（WHO 2024）。现有诊断方法存在灵敏度低、耗时或设备依赖性强等局限。宿主血液转录组生物标志物是近年热点（Nat Commun 2024, Berry Nature 2010），但多数研究局限于单队列、少量机器学习方法，且缺乏湿实验验证。</w:t>
      </w:r>
    </w:p>
    <w:p>
      <w:r>
        <w:t>GBP 家族（GBP1-7）是 IFN-γ 诱导的 GTPase 超家族，在宿主抗胞内菌免疫中发挥关键作用。GBP5 已在 TB 诊断中多次验证，但 GBP1 在 TB 中的角色尚无系统研究。GBP1 具有独特的 高尔基体/囊泡定位、LPS 结合活性和炎症小体调控功能（Nat Commun 2020, Cell Rep 2020），提示其可能具有独立于 GBP5 的免疫调节机制。</w:t>
      </w:r>
    </w:p>
    <w:p>
      <w:r>
        <w:t>核心科学问题：GBP1 能否作为结核病的诊断生物标志物和免疫调控靶点？</w:t>
      </w:r>
    </w:p>
    <w:p>
      <w:pPr>
        <w:pStyle w:val="Heading1"/>
      </w:pPr>
      <w:r>
        <w:t>二、研究设计与创新点</w:t>
      </w:r>
    </w:p>
    <w:p>
      <w:r>
        <w:t>本研究构建"六层证据金字塔"框架，从转录组发现到临床组织验证形成闭环：</w:t>
      </w:r>
    </w:p>
    <w:p>
      <w:r>
        <w:rPr>
          <w:b/>
        </w:rPr>
        <w:t>第一层 转录组发现：</w:t>
      </w:r>
      <w:r>
        <w:t>6 GEO 数据集（796 样本）+ 2 独立外部验证（388 样本）→ DEG + WGCNA → 确定 GBP1 在 TB 中的差异表达和共表达模块定位</w:t>
      </w:r>
    </w:p>
    <w:p>
      <w:r>
        <w:rPr>
          <w:b/>
        </w:rPr>
        <w:t>第二层 蛋白互作组：</w:t>
      </w:r>
      <w:r>
        <w:t>STRING + BioGRID + HPA → 构建 GBP1 蛋白互作网络 → 鉴定免疫信号相关互作伙伴</w:t>
      </w:r>
    </w:p>
    <w:p>
      <w:r>
        <w:rPr>
          <w:b/>
        </w:rPr>
        <w:t>第三层 调控网络：</w:t>
      </w:r>
      <w:r>
        <w:t>TRRUST + ENCODE ChIP-seq + JASPAR → 揭示 IFN-γ→STAT1/IRF1→GBP1 转录调控轴</w:t>
      </w:r>
    </w:p>
    <w:p>
      <w:r>
        <w:rPr>
          <w:b/>
        </w:rPr>
        <w:t>第四层 遗传证据：</w:t>
      </w:r>
      <w:r>
        <w:t>GWAS Catalog + GTEx eQTL + gnoMAD → 从人群遗传学角度支持 GBP1 的功能重要性</w:t>
      </w:r>
    </w:p>
    <w:p>
      <w:r>
        <w:rPr>
          <w:b/>
        </w:rPr>
        <w:t>第五层 药物靶向：</w:t>
      </w:r>
      <w:r>
        <w:t>分子对接（AutoDock Vina，-7.6 kcal/mol）+ 100 ns MD 模拟（GROMACS）→ 白藜芦醇作为候选 GBP1 靶向化合物</w:t>
      </w:r>
    </w:p>
    <w:p>
      <w:r>
        <w:rPr>
          <w:b/>
        </w:rPr>
        <w:t>第六层 临床验证：</w:t>
      </w:r>
      <w:r>
        <w:t>IHC（12 TB + 12 结节病 + 12 正常）+ WB（3vs3）+ miRNA qPCR（12 对）→ 组织学三证独立验证</w:t>
      </w:r>
    </w:p>
    <w:p/>
    <w:p>
      <w:r>
        <w:rPr>
          <w:b/>
        </w:rPr>
        <w:t>创新点：</w:t>
      </w:r>
    </w:p>
    <w:p>
      <w:pPr>
        <w:pStyle w:val="ListBullet"/>
      </w:pPr>
      <w:r>
        <w:t>首次系统表征 GBP1 在 TB 中的多组学特征（既往仅 GBP5 被报道）</w:t>
      </w:r>
    </w:p>
    <w:p>
      <w:pPr>
        <w:pStyle w:val="ListBullet"/>
      </w:pPr>
      <w:r>
        <w:t>113 种机器学习组合 + SHAP 可解释性 → 优于常规 3-4 种 ML 方法</w:t>
      </w:r>
    </w:p>
    <w:p>
      <w:pPr>
        <w:pStyle w:val="ListBullet"/>
      </w:pPr>
      <w:r>
        <w:t>跨疾病免疫验证：TCGA LUAD+LUSC 独立证实 GBP1-免疫细胞相关性</w:t>
      </w:r>
    </w:p>
    <w:p>
      <w:pPr>
        <w:pStyle w:val="ListBullet"/>
      </w:pPr>
      <w:r>
        <w:t>六层证据汇聚：每一层独立指向 GBP1，正交验证消除单一方法偏差</w:t>
      </w:r>
    </w:p>
    <w:p>
      <w:pPr>
        <w:pStyle w:val="ListBullet"/>
      </w:pPr>
      <w:r>
        <w:t>自然产物白藜芦醇作为 GBP1 候选靶向药物——宿主导向治疗（HDT）新方向</w:t>
      </w:r>
    </w:p>
    <w:p>
      <w:pPr>
        <w:pStyle w:val="Heading1"/>
      </w:pPr>
      <w:r>
        <w:t>三、数据库与样本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样本/条目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GEO (×6)</w:t>
            </w:r>
          </w:p>
        </w:tc>
        <w:tc>
          <w:tcPr>
            <w:tcW w:type="dxa" w:w="2160"/>
          </w:tcPr>
          <w:p>
            <w:r>
              <w:t>转录组</w:t>
            </w:r>
          </w:p>
        </w:tc>
        <w:tc>
          <w:tcPr>
            <w:tcW w:type="dxa" w:w="2160"/>
          </w:tcPr>
          <w:p>
            <w:r>
              <w:t>796 样本</w:t>
            </w:r>
          </w:p>
        </w:tc>
        <w:tc>
          <w:tcPr>
            <w:tcW w:type="dxa" w:w="2160"/>
          </w:tcPr>
          <w:p>
            <w:r>
              <w:t>发现 + 训练队列</w:t>
            </w:r>
          </w:p>
        </w:tc>
      </w:tr>
      <w:tr>
        <w:tc>
          <w:tcPr>
            <w:tcW w:type="dxa" w:w="2160"/>
          </w:tcPr>
          <w:p>
            <w:r>
              <w:t>GSE39940</w:t>
            </w:r>
          </w:p>
        </w:tc>
        <w:tc>
          <w:tcPr>
            <w:tcW w:type="dxa" w:w="2160"/>
          </w:tcPr>
          <w:p>
            <w:r>
              <w:t>外部验证</w:t>
            </w:r>
          </w:p>
        </w:tc>
        <w:tc>
          <w:tcPr>
            <w:tcW w:type="dxa" w:w="2160"/>
          </w:tcPr>
          <w:p>
            <w:r>
              <w:t>334（南非儿童）</w:t>
            </w:r>
          </w:p>
        </w:tc>
        <w:tc>
          <w:tcPr>
            <w:tcW w:type="dxa" w:w="2160"/>
          </w:tcPr>
          <w:p>
            <w:r>
              <w:t>独立外部验证 1</w:t>
            </w:r>
          </w:p>
        </w:tc>
      </w:tr>
      <w:tr>
        <w:tc>
          <w:tcPr>
            <w:tcW w:type="dxa" w:w="2160"/>
          </w:tcPr>
          <w:p>
            <w:r>
              <w:t>GSE19444</w:t>
            </w:r>
          </w:p>
        </w:tc>
        <w:tc>
          <w:tcPr>
            <w:tcW w:type="dxa" w:w="2160"/>
          </w:tcPr>
          <w:p>
            <w:r>
              <w:t>外部验证</w:t>
            </w:r>
          </w:p>
        </w:tc>
        <w:tc>
          <w:tcPr>
            <w:tcW w:type="dxa" w:w="2160"/>
          </w:tcPr>
          <w:p>
            <w:r>
              <w:t>54（UK成人）</w:t>
            </w:r>
          </w:p>
        </w:tc>
        <w:tc>
          <w:tcPr>
            <w:tcW w:type="dxa" w:w="2160"/>
          </w:tcPr>
          <w:p>
            <w:r>
              <w:t>独立外部验证 2（Berry Nature 2010）</w:t>
            </w:r>
          </w:p>
        </w:tc>
      </w:tr>
      <w:tr>
        <w:tc>
          <w:tcPr>
            <w:tcW w:type="dxa" w:w="2160"/>
          </w:tcPr>
          <w:p>
            <w:r>
              <w:t>TCGA LUAD+LUSC</w:t>
            </w:r>
          </w:p>
        </w:tc>
        <w:tc>
          <w:tcPr>
            <w:tcW w:type="dxa" w:w="2160"/>
          </w:tcPr>
          <w:p>
            <w:r>
              <w:t>癌症转录组</w:t>
            </w:r>
          </w:p>
        </w:tc>
        <w:tc>
          <w:tcPr>
            <w:tcW w:type="dxa" w:w="2160"/>
          </w:tcPr>
          <w:p>
            <w:r>
              <w:t>~1,000 样本</w:t>
            </w:r>
          </w:p>
        </w:tc>
        <w:tc>
          <w:tcPr>
            <w:tcW w:type="dxa" w:w="2160"/>
          </w:tcPr>
          <w:p>
            <w:r>
              <w:t>跨疾病免疫验证</w:t>
            </w:r>
          </w:p>
        </w:tc>
      </w:tr>
      <w:tr>
        <w:tc>
          <w:tcPr>
            <w:tcW w:type="dxa" w:w="2160"/>
          </w:tcPr>
          <w:p>
            <w:r>
              <w:t>GTEx v8</w:t>
            </w:r>
          </w:p>
        </w:tc>
        <w:tc>
          <w:tcPr>
            <w:tcW w:type="dxa" w:w="2160"/>
          </w:tcPr>
          <w:p>
            <w:r>
              <w:t>正常组织转录组</w:t>
            </w:r>
          </w:p>
        </w:tc>
        <w:tc>
          <w:tcPr>
            <w:tcW w:type="dxa" w:w="2160"/>
          </w:tcPr>
          <w:p>
            <w:r>
              <w:t>54 组织</w:t>
            </w:r>
          </w:p>
        </w:tc>
        <w:tc>
          <w:tcPr>
            <w:tcW w:type="dxa" w:w="2160"/>
          </w:tcPr>
          <w:p>
            <w:r>
              <w:t>正常表达基线</w:t>
            </w:r>
          </w:p>
        </w:tc>
      </w:tr>
      <w:tr>
        <w:tc>
          <w:tcPr>
            <w:tcW w:type="dxa" w:w="2160"/>
          </w:tcPr>
          <w:p>
            <w:r>
              <w:t>HPA v23</w:t>
            </w:r>
          </w:p>
        </w:tc>
        <w:tc>
          <w:tcPr>
            <w:tcW w:type="dxa" w:w="2160"/>
          </w:tcPr>
          <w:p>
            <w:r>
              <w:t>蛋白图谱</w:t>
            </w:r>
          </w:p>
        </w:tc>
        <w:tc>
          <w:tcPr>
            <w:tcW w:type="dxa" w:w="2160"/>
          </w:tcPr>
          <w:p>
            <w:r>
              <w:t>全组织 IHC + RNA</w:t>
            </w:r>
          </w:p>
        </w:tc>
        <w:tc>
          <w:tcPr>
            <w:tcW w:type="dxa" w:w="2160"/>
          </w:tcPr>
          <w:p>
            <w:r>
              <w:t>蛋白表达独立验证</w:t>
            </w:r>
          </w:p>
        </w:tc>
      </w:tr>
      <w:tr>
        <w:tc>
          <w:tcPr>
            <w:tcW w:type="dxa" w:w="2160"/>
          </w:tcPr>
          <w:p>
            <w:r>
              <w:t>STRING v12 + BioGRID 4.4</w:t>
            </w:r>
          </w:p>
        </w:tc>
        <w:tc>
          <w:tcPr>
            <w:tcW w:type="dxa" w:w="2160"/>
          </w:tcPr>
          <w:p>
            <w:r>
              <w:t>蛋白互作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PPI 网络</w:t>
            </w:r>
          </w:p>
        </w:tc>
      </w:tr>
      <w:tr>
        <w:tc>
          <w:tcPr>
            <w:tcW w:type="dxa" w:w="2160"/>
          </w:tcPr>
          <w:p>
            <w:r>
              <w:t>TRRUST v2 + ENCODE</w:t>
            </w:r>
          </w:p>
        </w:tc>
        <w:tc>
          <w:tcPr>
            <w:tcW w:type="dxa" w:w="2160"/>
          </w:tcPr>
          <w:p>
            <w:r>
              <w:t>转录调控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TF→GBP1 调控网络</w:t>
            </w:r>
          </w:p>
        </w:tc>
      </w:tr>
      <w:tr>
        <w:tc>
          <w:tcPr>
            <w:tcW w:type="dxa" w:w="2160"/>
          </w:tcPr>
          <w:p>
            <w:r>
              <w:t>GWAS Catalog + gnoMAD v4</w:t>
            </w:r>
          </w:p>
        </w:tc>
        <w:tc>
          <w:tcPr>
            <w:tcW w:type="dxa" w:w="2160"/>
          </w:tcPr>
          <w:p>
            <w:r>
              <w:t>遗传学</w:t>
            </w:r>
          </w:p>
        </w:tc>
        <w:tc>
          <w:tcPr>
            <w:tcW w:type="dxa" w:w="2160"/>
          </w:tcPr>
          <w:p>
            <w:r>
              <w:t>全基因组</w:t>
            </w:r>
          </w:p>
        </w:tc>
        <w:tc>
          <w:tcPr>
            <w:tcW w:type="dxa" w:w="2160"/>
          </w:tcPr>
          <w:p>
            <w:r>
              <w:t>人群遗传证据</w:t>
            </w:r>
          </w:p>
        </w:tc>
      </w:tr>
      <w:tr>
        <w:tc>
          <w:tcPr>
            <w:tcW w:type="dxa" w:w="2160"/>
          </w:tcPr>
          <w:p>
            <w:r>
              <w:t>PDB 1DG3 + PubChem</w:t>
            </w:r>
          </w:p>
        </w:tc>
        <w:tc>
          <w:tcPr>
            <w:tcW w:type="dxa" w:w="2160"/>
          </w:tcPr>
          <w:p>
            <w:r>
              <w:t>结构/药物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分子对接 + MD</w:t>
            </w:r>
          </w:p>
        </w:tc>
      </w:tr>
      <w:tr>
        <w:tc>
          <w:tcPr>
            <w:tcW w:type="dxa" w:w="2160"/>
          </w:tcPr>
          <w:p>
            <w:r>
              <w:t>临床标本</w:t>
            </w:r>
          </w:p>
        </w:tc>
        <w:tc>
          <w:tcPr>
            <w:tcW w:type="dxa" w:w="2160"/>
          </w:tcPr>
          <w:p>
            <w:r>
              <w:t>FFPE 肺组织</w:t>
            </w:r>
          </w:p>
        </w:tc>
        <w:tc>
          <w:tcPr>
            <w:tcW w:type="dxa" w:w="2160"/>
          </w:tcPr>
          <w:p>
            <w:r>
              <w:t>36 例（12+12+12）</w:t>
            </w:r>
          </w:p>
        </w:tc>
        <w:tc>
          <w:tcPr>
            <w:tcW w:type="dxa" w:w="2160"/>
          </w:tcPr>
          <w:p>
            <w:r>
              <w:t>IHC + WB + qPCR</w:t>
            </w:r>
          </w:p>
        </w:tc>
      </w:tr>
      <w:tr>
        <w:tc>
          <w:tcPr>
            <w:tcW w:type="dxa" w:w="2160"/>
          </w:tcPr>
          <w:p>
            <w:r>
              <w:t>临床标本</w:t>
            </w:r>
          </w:p>
        </w:tc>
        <w:tc>
          <w:tcPr>
            <w:tcW w:type="dxa" w:w="2160"/>
          </w:tcPr>
          <w:p>
            <w:r>
              <w:t>新鲜组织</w:t>
            </w:r>
          </w:p>
        </w:tc>
        <w:tc>
          <w:tcPr>
            <w:tcW w:type="dxa" w:w="2160"/>
          </w:tcPr>
          <w:p>
            <w:r>
              <w:t>12 对（TB/正常）</w:t>
            </w:r>
          </w:p>
        </w:tc>
        <w:tc>
          <w:tcPr>
            <w:tcW w:type="dxa" w:w="2160"/>
          </w:tcPr>
          <w:p>
            <w:r>
              <w:t>miRNA qPCR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四、主图规划（7 张，共 25 个 panel）</w:t>
      </w:r>
    </w:p>
    <w:p>
      <w:r>
        <w:rPr>
          <w:b/>
        </w:rPr>
        <w:t>Figure 1：GBP1 表达景观</w:t>
      </w:r>
    </w:p>
    <w:p>
      <w:pPr>
        <w:pStyle w:val="ListBullet"/>
      </w:pPr>
      <w:r>
        <w:t>A: 6-GEO 合并 DEG 火山图（GBP1 高亮）</w:t>
      </w:r>
    </w:p>
    <w:p>
      <w:pPr>
        <w:pStyle w:val="ListBullet"/>
      </w:pPr>
      <w:r>
        <w:t>B: GTEx 54 组织正常表达柱状图</w:t>
      </w:r>
    </w:p>
    <w:p>
      <w:pPr>
        <w:pStyle w:val="ListBullet"/>
      </w:pPr>
      <w:r>
        <w:t>C: 各数据集 GBP1 Control vs Treat 箱线图</w:t>
      </w:r>
    </w:p>
    <w:p>
      <w:r>
        <w:rPr>
          <w:b/>
        </w:rPr>
        <w:t>Figure 2：WGCNA 共表达网络与功能注释</w:t>
      </w:r>
    </w:p>
    <w:p>
      <w:pPr>
        <w:pStyle w:val="ListBullet"/>
      </w:pPr>
      <w:r>
        <w:t>A: 模块-性状热图</w:t>
      </w:r>
    </w:p>
    <w:p>
      <w:pPr>
        <w:pStyle w:val="ListBullet"/>
      </w:pPr>
      <w:r>
        <w:t>B: UpSet 收敛图</w:t>
      </w:r>
    </w:p>
    <w:p>
      <w:pPr>
        <w:pStyle w:val="ListBullet"/>
      </w:pPr>
      <w:r>
        <w:t>C: GO/KEGG 富集气泡图</w:t>
      </w:r>
    </w:p>
    <w:p>
      <w:r>
        <w:rPr>
          <w:b/>
        </w:rPr>
        <w:t>Figure 3：免疫浸润分析</w:t>
      </w:r>
    </w:p>
    <w:p>
      <w:pPr>
        <w:pStyle w:val="ListBullet"/>
      </w:pPr>
      <w:r>
        <w:t>A: CIBERSORT 堆积柱状图（TB Control vs Treat）</w:t>
      </w:r>
    </w:p>
    <w:p>
      <w:pPr>
        <w:pStyle w:val="ListBullet"/>
      </w:pPr>
      <w:r>
        <w:t>B: GBP1-High vs Low 差异箱线图</w:t>
      </w:r>
    </w:p>
    <w:p>
      <w:pPr>
        <w:pStyle w:val="ListBullet"/>
      </w:pPr>
      <w:r>
        <w:t>C: 免疫细胞 Spearman 相关性热图</w:t>
      </w:r>
    </w:p>
    <w:p>
      <w:pPr>
        <w:pStyle w:val="ListBullet"/>
      </w:pPr>
      <w:r>
        <w:t>D: TCGA LUAD+LUSC 跨疾病验证</w:t>
      </w:r>
    </w:p>
    <w:p>
      <w:r>
        <w:rPr>
          <w:b/>
        </w:rPr>
        <w:t>Figure 4：机器学习诊断模型</w:t>
      </w:r>
    </w:p>
    <w:p>
      <w:pPr>
        <w:pStyle w:val="ListBullet"/>
      </w:pPr>
      <w:r>
        <w:t>A: 113 模型 AUC 热图</w:t>
      </w:r>
    </w:p>
    <w:p>
      <w:pPr>
        <w:pStyle w:val="ListBullet"/>
      </w:pPr>
      <w:r>
        <w:t>B: 最佳模型 ROC（训练 + 内部 + 2 外部验证）</w:t>
      </w:r>
    </w:p>
    <w:p>
      <w:pPr>
        <w:pStyle w:val="ListBullet"/>
      </w:pPr>
      <w:r>
        <w:t>C: SHAP beeswarm 特征重要性</w:t>
      </w:r>
    </w:p>
    <w:p>
      <w:pPr>
        <w:pStyle w:val="ListBullet"/>
      </w:pPr>
      <w:r>
        <w:t>D: 诊断列线图</w:t>
      </w:r>
    </w:p>
    <w:p>
      <w:r>
        <w:rPr>
          <w:b/>
        </w:rPr>
        <w:t>Figure 5：调控网络与遗传证据</w:t>
      </w:r>
    </w:p>
    <w:p>
      <w:pPr>
        <w:pStyle w:val="ListBullet"/>
      </w:pPr>
      <w:r>
        <w:t>A: TF→GBP1 转录调控网络（TRRUST）</w:t>
      </w:r>
    </w:p>
    <w:p>
      <w:pPr>
        <w:pStyle w:val="ListBullet"/>
      </w:pPr>
      <w:r>
        <w:t>B: GBP1 蛋白互作网络（STRING + BioGRID）</w:t>
      </w:r>
    </w:p>
    <w:p>
      <w:pPr>
        <w:pStyle w:val="ListBullet"/>
      </w:pPr>
      <w:r>
        <w:t>C: ENCODE ChIP-seq 轨迹图</w:t>
      </w:r>
    </w:p>
    <w:p>
      <w:pPr>
        <w:pStyle w:val="ListBullet"/>
      </w:pPr>
      <w:r>
        <w:t>D: GTEx eQTL 总结</w:t>
      </w:r>
    </w:p>
    <w:p>
      <w:r>
        <w:rPr>
          <w:b/>
        </w:rPr>
        <w:t>Figure 6：药物靶向</w:t>
      </w:r>
    </w:p>
    <w:p>
      <w:pPr>
        <w:pStyle w:val="ListBullet"/>
      </w:pPr>
      <w:r>
        <w:t>A: 白藜芦醇-GBP1 分子对接 3D 姿态</w:t>
      </w:r>
    </w:p>
    <w:p>
      <w:pPr>
        <w:pStyle w:val="ListBullet"/>
      </w:pPr>
      <w:r>
        <w:t>B: MD 模拟 RMSD/RMSF 时间序列</w:t>
      </w:r>
    </w:p>
    <w:p>
      <w:pPr>
        <w:pStyle w:val="ListBullet"/>
      </w:pPr>
      <w:r>
        <w:t>C: HPA 蛋白 IHC 独立验证</w:t>
      </w:r>
    </w:p>
    <w:p>
      <w:pPr>
        <w:pStyle w:val="ListBullet"/>
      </w:pPr>
      <w:r>
        <w:t>D: Gibbs 自由能景观</w:t>
      </w:r>
    </w:p>
    <w:p>
      <w:r>
        <w:rPr>
          <w:b/>
        </w:rPr>
        <w:t>Figure 7：临床组织学验证</w:t>
      </w:r>
    </w:p>
    <w:p>
      <w:pPr>
        <w:pStyle w:val="ListBullet"/>
      </w:pPr>
      <w:r>
        <w:t>A: IHC 代表性显微照片（TB vs 结节病 vs 正常）</w:t>
      </w:r>
    </w:p>
    <w:p>
      <w:pPr>
        <w:pStyle w:val="ListBullet"/>
      </w:pPr>
      <w:r>
        <w:t>B: Western blot（GBP1 68 kDa / β-actin 42 kDa）</w:t>
      </w:r>
    </w:p>
    <w:p>
      <w:pPr>
        <w:pStyle w:val="ListBullet"/>
      </w:pPr>
      <w:r>
        <w:t>C: miR-532-5p qPCR + GBP1 相关性</w:t>
      </w:r>
    </w:p>
    <w:p>
      <w:pPr>
        <w:pStyle w:val="Heading1"/>
      </w:pPr>
      <w:r>
        <w:t>五、补充材料</w:t>
      </w:r>
    </w:p>
    <w:p>
      <w:r>
        <w:t>Supplementary Figures S1-S8（数据预处理、完整 WGCNA、GSEA、SHAP 全图、MD 8 图、GWAS 位点图等）</w:t>
      </w:r>
    </w:p>
    <w:p>
      <w:r>
        <w:t>Supplementary Tables S1-S5（GEO 数据集汇总、GWAS SNP、gnoMAD 约束、PRIDE 蛋白质组研究等）</w:t>
      </w:r>
    </w:p>
    <w:p>
      <w:pPr>
        <w:pStyle w:val="Heading1"/>
      </w:pPr>
      <w:r>
        <w:t>六、湿实验验证（已完成：叶国敏 共同作者）</w:t>
      </w:r>
    </w:p>
    <w:p>
      <w:pPr>
        <w:pStyle w:val="ListBullet"/>
      </w:pPr>
      <w:r>
        <w:t>IHC 免疫组化：12 活动性 TB vs 12 结节病 vs 12 正常肺组织，GBP1 阳性率 73.9% vs 16.7%（P &lt; 0.001）</w:t>
      </w:r>
    </w:p>
    <w:p>
      <w:pPr>
        <w:pStyle w:val="ListBullet"/>
      </w:pPr>
      <w:r>
        <w:t>Western blot：3 TB vs 3 正常，GBP1 蛋白在 TB 中显著上调</w:t>
      </w:r>
    </w:p>
    <w:p>
      <w:pPr>
        <w:pStyle w:val="ListBullet"/>
      </w:pPr>
      <w:r>
        <w:t>miRNA qPCR：12 对临床样本，hsa-miR-532-5p 在 TB 中下调，与 GBP1 蛋白水平负相关</w:t>
      </w:r>
    </w:p>
    <w:p>
      <w:pPr>
        <w:pStyle w:val="Heading1"/>
      </w:pPr>
      <w:r>
        <w:t>七、目标期刊</w:t>
      </w:r>
    </w:p>
    <w:p>
      <w:pPr>
        <w:pStyle w:val="ListBullet"/>
      </w:pPr>
      <w:r>
        <w:t>冲刺：Biomarker Research（IF 11.5，BMC Springer，JCR Q1，中科院 2 区 TOP）</w:t>
      </w:r>
    </w:p>
    <w:p>
      <w:pPr>
        <w:pStyle w:val="ListBullet"/>
      </w:pPr>
      <w:r>
        <w:t>保底：Journal of Translational Medicine（IF 6.1）或 Frontiers in Immunology（IF 7.3）</w:t>
      </w:r>
    </w:p>
    <w:p>
      <w:r>
        <w:t>Biomarker Research 接受纯生信文章，且多组学+AI 方法的接收率高 17%，中国人投稿占 49.4%，初审 7 天。</w:t>
      </w:r>
    </w:p>
    <w:p>
      <w:pPr>
        <w:pStyle w:val="Heading1"/>
      </w:pPr>
      <w:r>
        <w:t>八、当前进度与后续计划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6 GEO 数据整合 + DEG + WGCNA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796 样本，7446 DEGs</w:t>
            </w:r>
          </w:p>
        </w:tc>
      </w:tr>
      <w:tr>
        <w:tc>
          <w:tcPr>
            <w:tcW w:type="dxa" w:w="2880"/>
          </w:tcPr>
          <w:p>
            <w:r>
              <w:t>113 ML 模型训练 + SHAP + 列线图</w:t>
            </w:r>
          </w:p>
        </w:tc>
        <w:tc>
          <w:tcPr>
            <w:tcW w:type="dxa" w:w="2880"/>
          </w:tcPr>
          <w:p>
            <w:r>
              <w:t>运行中</w:t>
            </w:r>
          </w:p>
        </w:tc>
        <w:tc>
          <w:tcPr>
            <w:tcW w:type="dxa" w:w="2880"/>
          </w:tcPr>
          <w:p>
            <w:r>
              <w:t>2号机并发运算中</w:t>
            </w:r>
          </w:p>
        </w:tc>
      </w:tr>
      <w:tr>
        <w:tc>
          <w:tcPr>
            <w:tcW w:type="dxa" w:w="2880"/>
          </w:tcPr>
          <w:p>
            <w:r>
              <w:t>外部验证 GSE39940 + GSE19444</w:t>
            </w:r>
          </w:p>
        </w:tc>
        <w:tc>
          <w:tcPr>
            <w:tcW w:type="dxa" w:w="2880"/>
          </w:tcPr>
          <w:p>
            <w:r>
              <w:t>脚本就绪</w:t>
            </w:r>
          </w:p>
        </w:tc>
        <w:tc>
          <w:tcPr>
            <w:tcW w:type="dxa" w:w="2880"/>
          </w:tcPr>
          <w:p>
            <w:r>
              <w:t>run_all.R 完成后运行</w:t>
            </w:r>
          </w:p>
        </w:tc>
      </w:tr>
      <w:tr>
        <w:tc>
          <w:tcPr>
            <w:tcW w:type="dxa" w:w="2880"/>
          </w:tcPr>
          <w:p>
            <w:r>
              <w:t>TCGA CIBERSORT 免疫浸润</w:t>
            </w:r>
          </w:p>
        </w:tc>
        <w:tc>
          <w:tcPr>
            <w:tcW w:type="dxa" w:w="2880"/>
          </w:tcPr>
          <w:p>
            <w:r>
              <w:t>代码已完成</w:t>
            </w:r>
          </w:p>
        </w:tc>
        <w:tc>
          <w:tcPr>
            <w:tcW w:type="dxa" w:w="2880"/>
          </w:tcPr>
          <w:p>
            <w:r>
              <w:t>含 4 张输出图</w:t>
            </w:r>
          </w:p>
        </w:tc>
      </w:tr>
      <w:tr>
        <w:tc>
          <w:tcPr>
            <w:tcW w:type="dxa" w:w="2880"/>
          </w:tcPr>
          <w:p>
            <w:r>
              <w:t>GTEx/HPA/GWAS/ENCODE 等 API 查询</w:t>
            </w:r>
          </w:p>
        </w:tc>
        <w:tc>
          <w:tcPr>
            <w:tcW w:type="dxa" w:w="2880"/>
          </w:tcPr>
          <w:p>
            <w:r>
              <w:t>脚本就绪</w:t>
            </w:r>
          </w:p>
        </w:tc>
        <w:tc>
          <w:tcPr>
            <w:tcW w:type="dxa" w:w="2880"/>
          </w:tcPr>
          <w:p>
            <w:r>
              <w:t>3 个 phase 脚本待执行</w:t>
            </w:r>
          </w:p>
        </w:tc>
      </w:tr>
      <w:tr>
        <w:tc>
          <w:tcPr>
            <w:tcW w:type="dxa" w:w="2880"/>
          </w:tcPr>
          <w:p>
            <w:r>
              <w:t>分子对接 + MD（白藜芦醇-GBP1）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1号机，14 张图待同步</w:t>
            </w:r>
          </w:p>
        </w:tc>
      </w:tr>
      <w:tr>
        <w:tc>
          <w:tcPr>
            <w:tcW w:type="dxa" w:w="2880"/>
          </w:tcPr>
          <w:p>
            <w:r>
              <w:t>湿实验 IHC/WB/qPCR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叶国敏，Revised TB.docx</w:t>
            </w:r>
          </w:p>
        </w:tc>
      </w:tr>
      <w:tr>
        <w:tc>
          <w:tcPr>
            <w:tcW w:type="dxa" w:w="2880"/>
          </w:tcPr>
          <w:p>
            <w:r>
              <w:t>Manuscript 撰写</w:t>
            </w:r>
          </w:p>
        </w:tc>
        <w:tc>
          <w:tcPr>
            <w:tcW w:type="dxa" w:w="2880"/>
          </w:tcPr>
          <w:p>
            <w:r>
              <w:t>框架就绪</w:t>
            </w:r>
          </w:p>
        </w:tc>
        <w:tc>
          <w:tcPr>
            <w:tcW w:type="dxa" w:w="2880"/>
          </w:tcPr>
          <w:p>
            <w:r>
              <w:t>图集齐后启动，已写 500+ 行叙事文档</w:t>
            </w:r>
          </w:p>
        </w:tc>
      </w:tr>
      <w:tr>
        <w:tc>
          <w:tcPr>
            <w:tcW w:type="dxa" w:w="2880"/>
          </w:tcPr>
          <w:p>
            <w:r>
              <w:t>期刊投稿</w:t>
            </w:r>
          </w:p>
        </w:tc>
        <w:tc>
          <w:tcPr>
            <w:tcW w:type="dxa" w:w="2880"/>
          </w:tcPr>
          <w:p>
            <w:r>
              <w:t>待启动</w:t>
            </w:r>
          </w:p>
        </w:tc>
        <w:tc>
          <w:tcPr>
            <w:tcW w:type="dxa" w:w="2880"/>
          </w:tcPr>
          <w:p>
            <w:r>
              <w:t>目标 2-3 周内</w:t>
            </w:r>
          </w:p>
        </w:tc>
      </w:tr>
    </w:tbl>
    <w:p>
      <w:pPr>
        <w:pStyle w:val="Heading1"/>
      </w:pPr>
      <w:r>
        <w:t>九、一句话总结</w:t>
      </w:r>
    </w:p>
    <w:p>
      <w:pPr>
        <w:jc w:val="center"/>
      </w:pPr>
      <w:r>
        <w:rPr>
          <w:b/>
          <w:sz w:val="26"/>
        </w:rPr>
        <w:t>GBP1 是结核病中 IFN-γ 信号轴的核心免疫调控节点——通过 1184 样本多队列转录组整合、113 种机器学习模型、六层跨组学数据库正交验证、分子动力学模拟和临床组织学验证共同支持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