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Microsoft YaHei" w:cs="Microsoft YaHei" w:eastAsia="Microsoft YaHei" w:hAnsi="Microsoft YaHei"/>
          <w:b/>
          <w:bCs/>
          <w:color w:val="1B4F72"/>
          <w:sz w:val="48"/>
          <w:szCs w:val="48"/>
        </w:rPr>
        <w:t xml:space="preserve">LTBI-HC 方法学框架论文</w:t>
      </w:r>
    </w:p>
    <w:p>
      <w:pPr>
        <w:spacing w:after="200"/>
        <w:jc w:val="center"/>
      </w:pPr>
      <w:r>
        <w:rPr>
          <w:rFonts w:ascii="Microsoft YaHei" w:cs="Microsoft YaHei" w:eastAsia="Microsoft YaHei" w:hAnsi="Microsoft YaHei"/>
          <w:b/>
          <w:bCs/>
          <w:color w:val="2C3E50"/>
          <w:sz w:val="36"/>
          <w:szCs w:val="36"/>
        </w:rPr>
        <w:t xml:space="preserve">写作计划书</w:t>
      </w:r>
    </w:p>
    <w:p>
      <w:pPr>
        <w:spacing w:after="100" w:before="600"/>
        <w:jc w:val="center"/>
      </w:pPr>
      <w:r>
        <w:rPr>
          <w:rFonts w:ascii="Microsoft YaHei" w:cs="Microsoft YaHei" w:eastAsia="Microsoft YaHei" w:hAnsi="Microsoft YaHei"/>
          <w:i/>
          <w:iCs/>
          <w:color w:val="7F8C8D"/>
          <w:sz w:val="24"/>
          <w:szCs w:val="24"/>
        </w:rPr>
        <w:t xml:space="preserve">从转录组到药物靶点的十二模块闭环分析框架</w:t>
      </w:r>
    </w:p>
    <w:p>
      <w:pPr>
        <w:spacing w:before="400"/>
        <w:jc w:val="center"/>
      </w:pPr>
      <w:r>
        <w:rPr>
          <w:rFonts w:ascii="Microsoft YaHei" w:cs="Microsoft YaHei" w:eastAsia="Microsoft YaHei" w:hAnsi="Microsoft YaHei"/>
          <w:color w:val="95A5A6"/>
          <w:sz w:val="20"/>
          <w:szCs w:val="20"/>
        </w:rPr>
        <w:t xml:space="preserve">2026年7月7日  |  初稿 v1.0  |  内部讨论稿</w:t>
      </w:r>
    </w:p>
    <w:p>
      <w:r>
        <w:br w:type="page"/>
      </w:r>
    </w:p>
    <w:p>
      <w:pPr>
        <w:pStyle w:val="Heading1"/>
      </w:pPr>
      <w:r>
        <w:t xml:space="preserve">目    录</w:t>
      </w:r>
    </w:p>
    <w:sdt>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一、拟用标题</w:t>
      </w:r>
    </w:p>
    <w:p>
      <w:pPr>
        <w:pStyle w:val="Heading2"/>
      </w:pPr>
      <w:r>
        <w:t xml:space="preserve">方案A：方法学框架路线（推荐）</w:t>
      </w:r>
    </w:p>
    <w:p>
      <w:pPr>
        <w:spacing w:after="120"/>
      </w:pPr>
      <w:r>
        <w:rPr>
          <w:rFonts w:ascii="Microsoft YaHei" w:cs="Microsoft YaHei" w:eastAsia="Microsoft YaHei" w:hAnsi="Microsoft YaHei"/>
          <w:i/>
          <w:iCs/>
          <w:sz w:val="21"/>
          <w:szCs w:val="21"/>
        </w:rPr>
        <w:t xml:space="preserve">整合多队列转录组学、集成机器学习与分子动力学模拟的系统计算框架鉴定 GBP1 为结核病稳健生物标志物与药物靶点候选分子</w:t>
      </w:r>
    </w:p>
    <w:p>
      <w:pPr>
        <w:pStyle w:val="ListParagraph"/>
        <w:numPr>
          <w:ilvl w:val="0"/>
          <w:numId w:val="2"/>
        </w:numPr>
        <w:spacing w:after="80"/>
      </w:pPr>
      <w:r>
        <w:rPr>
          <w:rFonts w:ascii="Microsoft YaHei" w:cs="Microsoft YaHei" w:eastAsia="Microsoft YaHei" w:hAnsi="Microsoft YaHei"/>
          <w:sz w:val="21"/>
          <w:szCs w:val="21"/>
        </w:rPr>
        <w:t xml:space="preserve">优势：突出"Framework"方法论定位，涵盖所有核心方法关键词，适合 Briefings in Bioinformatics 方法学板块</w:t>
      </w:r>
    </w:p>
    <w:p>
      <w:pPr>
        <w:pStyle w:val="Heading2"/>
      </w:pPr>
      <w:r>
        <w:t xml:space="preserve">方案B：发现驱动路线</w:t>
      </w:r>
    </w:p>
    <w:p>
      <w:pPr>
        <w:spacing w:after="120"/>
      </w:pPr>
      <w:r>
        <w:rPr>
          <w:rFonts w:ascii="Microsoft YaHei" w:cs="Microsoft YaHei" w:eastAsia="Microsoft YaHei" w:hAnsi="Microsoft YaHei"/>
          <w:i/>
          <w:iCs/>
          <w:sz w:val="21"/>
          <w:szCs w:val="21"/>
        </w:rPr>
        <w:t xml:space="preserve">多组学整合与实验验证揭示 GBP1 通过 STAT1-IFN 信号轴作为结核病核心调控因子</w:t>
      </w:r>
    </w:p>
    <w:p>
      <w:pPr>
        <w:pStyle w:val="Heading2"/>
      </w:pPr>
      <w:r>
        <w:t xml:space="preserve">方案C：短标题（Nature风格）</w:t>
      </w:r>
    </w:p>
    <w:p>
      <w:pPr>
        <w:spacing w:after="120"/>
      </w:pPr>
      <w:r>
        <w:rPr>
          <w:rFonts w:ascii="Microsoft YaHei" w:cs="Microsoft YaHei" w:eastAsia="Microsoft YaHei" w:hAnsi="Microsoft YaHei"/>
          <w:i/>
          <w:iCs/>
          <w:sz w:val="21"/>
          <w:szCs w:val="21"/>
        </w:rPr>
        <w:t xml:space="preserve">一个面向宿主导向结核病生物标志物发现的全流程计算到实验验证框架</w:t>
      </w:r>
    </w:p>
    <w:p>
      <w:r>
        <w:br w:type="page"/>
      </w:r>
    </w:p>
    <w:p>
      <w:pPr>
        <w:pStyle w:val="Heading1"/>
      </w:pPr>
      <w:r>
        <w:t xml:space="preserve">二、投稿计划（四梯队）</w:t>
      </w:r>
    </w:p>
    <w:p>
      <w:pPr>
        <w:spacing w:after="200"/>
      </w:pPr>
      <w:r>
        <w:rPr>
          <w:rFonts w:ascii="Microsoft YaHei" w:cs="Microsoft YaHei" w:eastAsia="Microsoft YaHei" w:hAnsi="Microsoft YaHei"/>
          <w:color w:val="34495E"/>
          <w:sz w:val="21"/>
          <w:szCs w:val="21"/>
        </w:rPr>
        <w:t xml:space="preserve">作者定位：临床医学硕士（学术型），研究方向为感染与免疫。以下投稿策略兼顾期刊影响因子、学科匹配度、审稿周期和发表难度，按优先级排列四个梯队。</w:t>
      </w:r>
    </w:p>
    <w:p>
      <w:pPr>
        <w:pStyle w:val="Heading2"/>
      </w:pPr>
      <w:r>
        <w:t xml:space="preserve">第一梯队：IF &gt;8，冲刺目标</w:t>
      </w:r>
    </w:p>
    <w:p>
      <w:pPr>
        <w:spacing w:before="120"/>
      </w:pPr>
      <w:r>
        <w:rPr>
          <w:rFonts w:ascii="Microsoft YaHei" w:cs="Microsoft YaHei" w:eastAsia="Microsoft YaHei" w:hAnsi="Microsoft YaHei"/>
          <w:b/>
          <w:bCs/>
          <w:color w:val="E74C3C"/>
          <w:sz w:val="24"/>
          <w:szCs w:val="24"/>
        </w:rPr>
        <w:t xml:space="preserve">投稿A：Briefings in Bioinformatics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项目</w:t>
            </w:r>
          </w:p>
        </w:tc>
        <w:tc>
          <w:tcPr>
            <w:tcW w:type="dxa" w:w="70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详情</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影响因子</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IF=9.5 (2024), JCR Q1, 中科院一区</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出版商</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Oxford University Press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期刊定位</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生物信息学方法学旗舰期刊，接受系统性计算框架论文</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审稿周期</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平均 3-4个月，录用率约15%</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格式要求</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正文 ≤5000词，AMA引用，IMRAD结构</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版面费</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OA选项，APC约$3500（传统出版免费）</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成功率评估</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中等偏高（30-40%）。方法学完整度是核心竞争力，12模块+闭环验证为独特优势</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对标本刊论文</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Brouard 2024 (GNN基准框架)、Eckhart 2024 (ML药物敏感性系统比较)、Novoloaca 2024 (分类方法整合分析)</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匹配优势</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完整的可复现框架 + 113种ML全比较 + 分子模拟 + 湿实验验证闭环</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潜在风险</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审稿人对TB领域陌生可能质疑疾病选择；MD仅50ns可能被要求延长</w:t>
            </w:r>
          </w:p>
        </w:tc>
      </w:tr>
    </w:tbl>
    <w:p>
      <w:pPr>
        <w:spacing w:before="200"/>
      </w:pPr>
      <w:r>
        <w:rPr>
          <w:rFonts w:ascii="Microsoft YaHei" w:cs="Microsoft YaHei" w:eastAsia="Microsoft YaHei" w:hAnsi="Microsoft YaHei"/>
          <w:b/>
          <w:bCs/>
          <w:color w:val="E74C3C"/>
          <w:sz w:val="24"/>
          <w:szCs w:val="24"/>
        </w:rPr>
        <w:t xml:space="preserve">投稿B：Clinical and Translational Medicine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项目</w:t>
            </w:r>
          </w:p>
        </w:tc>
        <w:tc>
          <w:tcPr>
            <w:tcW w:type="dxa" w:w="70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详情</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影响因子</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IF=8.6 (2024), JCR Q1</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出版商</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Wiley (Springer Nature合作)</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期刊定位</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转化医学——"从bench到bedside"，青睐分子机制+临床转化结合</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审稿周期</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平均 2-3个月（比Brief Bioinform快）</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匹配优势</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感染+免疫方向天然契合；计算→实验→临床转化的叙事线完美匹配期刊定位</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潜在风险</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纯生信内容可能被认为"临床转化不足"；需要强调TB临床决策应用前景</w:t>
            </w:r>
          </w:p>
        </w:tc>
      </w:tr>
    </w:tbl>
    <w:p>
      <w:pPr>
        <w:spacing w:before="200"/>
      </w:pPr>
      <w:r>
        <w:rPr>
          <w:rFonts w:ascii="Microsoft YaHei" w:cs="Microsoft YaHei" w:eastAsia="Microsoft YaHei" w:hAnsi="Microsoft YaHei"/>
          <w:b/>
          <w:bCs/>
          <w:color w:val="E74C3C"/>
          <w:sz w:val="24"/>
          <w:szCs w:val="24"/>
        </w:rPr>
        <w:t xml:space="preserve">投稿C：International Journal of Biological Macromolecules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项目</w:t>
            </w:r>
          </w:p>
        </w:tc>
        <w:tc>
          <w:tcPr>
            <w:tcW w:type="dxa" w:w="70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详情</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影响因子</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IF=7.7 (2024), JCR Q1</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出版商</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Elsevier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期刊定位</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生物大分子结构与功能，含分子对接+MD+MMPBSA的计算论文</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审稿周期</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平均 2-3个月，录用率约25%</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匹配优势</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M6-M8分子对接+MD+MMPBSA直接对应期刊核心方向；GBP1作为大分子靶点</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潜在风险</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方法学框架部分(M1-M5)可能被视为冗长；需精简前半段突出分子模拟</w:t>
            </w:r>
          </w:p>
        </w:tc>
      </w:tr>
    </w:tbl>
    <w:p>
      <w:r>
        <w:br w:type="page"/>
      </w:r>
    </w:p>
    <w:p>
      <w:pPr>
        <w:pStyle w:val="Heading2"/>
      </w:pPr>
      <w:r>
        <w:t xml:space="preserve">第二梯队：IF 5-8，稳妥目标</w:t>
      </w:r>
    </w:p>
    <w:p>
      <w:pPr>
        <w:spacing w:before="120"/>
      </w:pPr>
      <w:r>
        <w:rPr>
          <w:rFonts w:ascii="Microsoft YaHei" w:cs="Microsoft YaHei" w:eastAsia="Microsoft YaHei" w:hAnsi="Microsoft YaHei"/>
          <w:b/>
          <w:bCs/>
          <w:color w:val="2980B9"/>
          <w:sz w:val="24"/>
          <w:szCs w:val="24"/>
        </w:rPr>
        <w:t xml:space="preserve">投稿D：Briefings in Functional Genomics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项目</w:t>
            </w:r>
          </w:p>
        </w:tc>
        <w:tc>
          <w:tcPr>
            <w:tcW w:type="dxa" w:w="70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详情</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影响因子</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IF=5.8 (2024), JCR Q1</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出版商</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Oxford University Press (Brief Bioinform姊妹刊)</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期刊定位</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功能基因组学方法学，接受转录组+网络+ML整合框架</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审稿周期</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平均 2-3个月</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匹配优势</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Oxford家族，同一投稿系统；基因组学方法框架定位天然契合</w:t>
            </w:r>
          </w:p>
        </w:tc>
      </w:tr>
    </w:tbl>
    <w:p>
      <w:pPr>
        <w:spacing w:before="200"/>
      </w:pPr>
      <w:r>
        <w:rPr>
          <w:rFonts w:ascii="Microsoft YaHei" w:cs="Microsoft YaHei" w:eastAsia="Microsoft YaHei" w:hAnsi="Microsoft YaHei"/>
          <w:b/>
          <w:bCs/>
          <w:color w:val="2980B9"/>
          <w:sz w:val="24"/>
          <w:szCs w:val="24"/>
        </w:rPr>
        <w:t xml:space="preserve">投稿E：Computers in Biology and Medicine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项目</w:t>
            </w:r>
          </w:p>
        </w:tc>
        <w:tc>
          <w:tcPr>
            <w:tcW w:type="dxa" w:w="70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详情</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影响因子</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IF=7.0 (2024), JCR Q1</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出版商</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Elsevier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期刊定位</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计算机与医学交叉，ML建模+生物验证是核心方向</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审稿周期</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平均 1-2个月（非常快！）</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匹配优势</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113种ML模型全比较+SHAP可解释性直接命中期刊核心；审稿快</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潜在风险</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分子模拟部分可能对编辑不够吸引；需突出ML方法论创新</w:t>
            </w:r>
          </w:p>
        </w:tc>
      </w:tr>
    </w:tbl>
    <w:p>
      <w:pPr>
        <w:spacing w:before="200"/>
      </w:pPr>
      <w:r>
        <w:rPr>
          <w:rFonts w:ascii="Microsoft YaHei" w:cs="Microsoft YaHei" w:eastAsia="Microsoft YaHei" w:hAnsi="Microsoft YaHei"/>
          <w:b/>
          <w:bCs/>
          <w:color w:val="2980B9"/>
          <w:sz w:val="24"/>
          <w:szCs w:val="24"/>
        </w:rPr>
        <w:t xml:space="preserve">投稿F：Frontiers in Immunology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项目</w:t>
            </w:r>
          </w:p>
        </w:tc>
        <w:tc>
          <w:tcPr>
            <w:tcW w:type="dxa" w:w="70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详情</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影响因子</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IF=5.7 (2024), JCR Q1</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出版商</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Frontiers Media (OA)</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期刊定位</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免疫学全领域，接受感染+免疫+计算方法交叉论文</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审稿周期</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平均 2-4个月，互动式审稿</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版面费</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约$3225 (OA强制)</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匹配优势</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感染免疫方向天然对口；IFN-STAT1-GBP1免疫信号轴故事线完美匹配</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潜在风险</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纯计算论文可能被要求补充验证实验；OA费用较高</w:t>
            </w:r>
          </w:p>
        </w:tc>
      </w:tr>
    </w:tbl>
    <w:p>
      <w:pPr>
        <w:spacing w:before="200"/>
      </w:pPr>
      <w:r>
        <w:rPr>
          <w:rFonts w:ascii="Microsoft YaHei" w:cs="Microsoft YaHei" w:eastAsia="Microsoft YaHei" w:hAnsi="Microsoft YaHei"/>
          <w:b/>
          <w:bCs/>
          <w:color w:val="2980B9"/>
          <w:sz w:val="24"/>
          <w:szCs w:val="24"/>
        </w:rPr>
        <w:t xml:space="preserve">投稿G：Journal of Translational Medicine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项目</w:t>
            </w:r>
          </w:p>
        </w:tc>
        <w:tc>
          <w:tcPr>
            <w:tcW w:type="dxa" w:w="70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详情</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影响因子</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IF=6.1 (2024), JCR Q1</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出版商</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BMC (Springer Nature)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期刊定位</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转化医学，生物标志物+诊断模型方向</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审稿周期</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平均 1-2个月（较快）</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匹配优势</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GBP1作为TB生物标志物的转化潜力；113ML诊断模型直接对应</w:t>
            </w:r>
          </w:p>
        </w:tc>
      </w:tr>
    </w:tbl>
    <w:p>
      <w:r>
        <w:br w:type="page"/>
      </w:r>
    </w:p>
    <w:p>
      <w:pPr>
        <w:pStyle w:val="Heading2"/>
      </w:pPr>
      <w:r>
        <w:t xml:space="preserve">第三梯队：IF 3-5，高成功率</w:t>
      </w:r>
    </w:p>
    <w:p>
      <w:pPr>
        <w:spacing w:before="120"/>
      </w:pPr>
      <w:r>
        <w:rPr>
          <w:rFonts w:ascii="Microsoft YaHei" w:cs="Microsoft YaHei" w:eastAsia="Microsoft YaHei" w:hAnsi="Microsoft YaHei"/>
          <w:b/>
          <w:bCs/>
          <w:color w:val="27AE60"/>
          <w:sz w:val="24"/>
          <w:szCs w:val="24"/>
        </w:rPr>
        <w:t xml:space="preserve">投稿H：Bioinformatics (Oxford)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项目</w:t>
            </w:r>
          </w:p>
        </w:tc>
        <w:tc>
          <w:tcPr>
            <w:tcW w:type="dxa" w:w="70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详情</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影响因子</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IF=4.4 (2024), JCR Q1</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出版商</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Oxford University Press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期刊定位</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生物信息学方法学标杆，接受框架类+benchmark论文</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审稿周期</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平均 3-4个月，录用率约20%</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成功率评估</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高(60-70%)。方法学完整，12模块远超该刊平均投稿水平</w:t>
            </w:r>
          </w:p>
        </w:tc>
      </w:tr>
    </w:tbl>
    <w:p>
      <w:pPr>
        <w:spacing w:before="200"/>
      </w:pPr>
      <w:r>
        <w:rPr>
          <w:rFonts w:ascii="Microsoft YaHei" w:cs="Microsoft YaHei" w:eastAsia="Microsoft YaHei" w:hAnsi="Microsoft YaHei"/>
          <w:b/>
          <w:bCs/>
          <w:color w:val="27AE60"/>
          <w:sz w:val="24"/>
          <w:szCs w:val="24"/>
        </w:rPr>
        <w:t xml:space="preserve">投稿I：BMC Infectious Diseases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项目</w:t>
            </w:r>
          </w:p>
        </w:tc>
        <w:tc>
          <w:tcPr>
            <w:tcW w:type="dxa" w:w="70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详情</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影响因子</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IF=3.4 (2024), JCR Q2</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出版商</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BMC (Springer Nature)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期刊定位</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感染性疾病全领域，接受生物信息学+生物标志物</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审稿周期</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平均 1-2个月</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成功率评估</w:t>
            </w:r>
          </w:p>
        </w:tc>
        <w:tc>
          <w:tcPr>
            <w:tcW w:type="dxa" w:w="70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很高(80%+)。TB感染+生物标志物直接对期刊核心</w:t>
            </w:r>
          </w:p>
        </w:tc>
      </w:tr>
    </w:tbl>
    <w:p>
      <w:pPr>
        <w:spacing w:before="200"/>
      </w:pPr>
      <w:r>
        <w:rPr>
          <w:rFonts w:ascii="Microsoft YaHei" w:cs="Microsoft YaHei" w:eastAsia="Microsoft YaHei" w:hAnsi="Microsoft YaHei"/>
          <w:b/>
          <w:bCs/>
          <w:color w:val="7F8C8D"/>
          <w:sz w:val="24"/>
          <w:szCs w:val="24"/>
        </w:rPr>
        <w:t xml:space="preserve">第四梯队：保底方案</w:t>
      </w:r>
    </w:p>
    <w:p>
      <w:pPr>
        <w:spacing w:before="120"/>
      </w:pPr>
      <w:r>
        <w:rPr>
          <w:rFonts w:ascii="Microsoft YaHei" w:cs="Microsoft YaHei" w:eastAsia="Microsoft YaHei" w:hAnsi="Microsoft YaHei"/>
          <w:b/>
          <w:bCs/>
          <w:color w:val="7F8C8D"/>
          <w:sz w:val="22"/>
          <w:szCs w:val="22"/>
        </w:rPr>
        <w:t xml:space="preserve">投稿J：BMC Bioinformatics (IF=2.9) / Journal of Immunological Methods (IF=2.0)</w:t>
      </w:r>
    </w:p>
    <w:p>
      <w:pPr>
        <w:pStyle w:val="ListParagraph"/>
        <w:numPr>
          <w:ilvl w:val="0"/>
          <w:numId w:val="2"/>
        </w:numPr>
        <w:spacing w:after="80"/>
      </w:pPr>
      <w:r>
        <w:rPr>
          <w:rFonts w:ascii="Microsoft YaHei" w:cs="Microsoft YaHei" w:eastAsia="Microsoft YaHei" w:hAnsi="Microsoft YaHei"/>
          <w:sz w:val="21"/>
          <w:szCs w:val="21"/>
        </w:rPr>
        <w:t xml:space="preserve">保底选项，无论审稿意见如何几乎确保接收</w:t>
      </w:r>
    </w:p>
    <w:p>
      <w:pPr>
        <w:pStyle w:val="ListParagraph"/>
        <w:numPr>
          <w:ilvl w:val="0"/>
          <w:numId w:val="2"/>
        </w:numPr>
        <w:spacing w:after="80"/>
      </w:pPr>
      <w:r>
        <w:rPr>
          <w:rFonts w:ascii="Microsoft YaHei" w:cs="Microsoft YaHei" w:eastAsia="Microsoft YaHei" w:hAnsi="Microsoft YaHei"/>
          <w:sz w:val="21"/>
          <w:szCs w:val="21"/>
        </w:rPr>
        <w:t xml:space="preserve">硕士毕业+申博对论文有硬性要求时建议将此梯队作为最后选项</w:t>
      </w:r>
    </w:p>
    <w:p>
      <w:pPr>
        <w:spacing w:before="300"/>
      </w:pPr>
      <w:r>
        <w:rPr>
          <w:rFonts w:ascii="Microsoft YaHei" w:cs="Microsoft YaHei" w:eastAsia="Microsoft YaHei" w:hAnsi="Microsoft YaHei"/>
          <w:b/>
          <w:bCs/>
          <w:color w:val="1B4F72"/>
          <w:sz w:val="26"/>
          <w:szCs w:val="26"/>
        </w:rPr>
        <w:t xml:space="preserve">投稿路线图（推荐执行顺序）</w:t>
      </w:r>
    </w:p>
    <w:p>
      <w:pPr>
        <w:spacing w:after="120"/>
      </w:pPr>
      <w:r>
        <w:rPr>
          <w:rFonts w:ascii="Microsoft YaHei" w:cs="Microsoft YaHei" w:eastAsia="Microsoft YaHei" w:hAnsi="Microsoft YaHei"/>
          <w:color w:val="34495E"/>
          <w:sz w:val="21"/>
          <w:szCs w:val="21"/>
        </w:rPr>
        <w:t xml:space="preserve">按以下顺序依次尝试，被拒后根据审稿意见修改再投下一目标：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900"/>
        <w:gridCol w:w="900"/>
        <w:gridCol w:w="1200"/>
        <w:gridCol w:w="1600"/>
        <w:gridCol w:w="1426"/>
      </w:tblGrid>
      <w:tr>
        <w:tc>
          <w:tcPr>
            <w:tcW w:type="dxa" w:w="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顺序</w:t>
            </w:r>
          </w:p>
        </w:tc>
        <w:tc>
          <w:tcPr>
            <w:tcW w:type="dxa" w:w="2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期刊</w:t>
            </w:r>
          </w:p>
        </w:tc>
        <w:tc>
          <w:tcPr>
            <w:tcW w:type="dxa" w:w="9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IF</w:t>
            </w:r>
          </w:p>
        </w:tc>
        <w:tc>
          <w:tcPr>
            <w:tcW w:type="dxa" w:w="9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审稿</w:t>
            </w:r>
          </w:p>
        </w:tc>
        <w:tc>
          <w:tcPr>
            <w:tcW w:type="dxa" w:w="1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成功率</w:t>
            </w:r>
          </w:p>
        </w:tc>
        <w:tc>
          <w:tcPr>
            <w:tcW w:type="dxa" w:w="1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投稿理由</w:t>
            </w:r>
          </w:p>
        </w:tc>
        <w:tc>
          <w:tcPr>
            <w:tcW w:type="dxa" w:w="14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状态</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1</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Briefings in Bioinformatics</w:t>
            </w:r>
          </w:p>
        </w:tc>
        <w:tc>
          <w:tcPr>
            <w:tcW w:type="dxa" w:w="900"/>
            <w:tcBorders>
              <w:top w:val="single" w:color="AAAAAA" w:sz="1"/>
              <w:left w:val="single" w:color="AAAAAA" w:sz="1"/>
              <w:bottom w:val="single" w:color="AAAAAA" w:sz="1"/>
              <w:right w:val="single" w:color="AAAAAA" w:sz="1"/>
            </w:tcBorders>
            <w:shd w:fill="FADBD8"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9.5</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3-4月</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30-40%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方法学旗舰，框架完整度高</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3498DB" w:val="clear"/>
              </w:rPr>
              <w:t xml:space="preserve">撰写中</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2</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Clinical Transl Med</w:t>
            </w:r>
          </w:p>
        </w:tc>
        <w:tc>
          <w:tcPr>
            <w:tcW w:type="dxa" w:w="900"/>
            <w:tcBorders>
              <w:top w:val="single" w:color="AAAAAA" w:sz="1"/>
              <w:left w:val="single" w:color="AAAAAA" w:sz="1"/>
              <w:bottom w:val="single" w:color="AAAAAA" w:sz="1"/>
              <w:right w:val="single" w:color="AAAAAA" w:sz="1"/>
            </w:tcBorders>
            <w:shd w:fill="FADBD8"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8.6</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2-3月</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25-35%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转化医学+感染免疫</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3498DB" w:val="clear"/>
              </w:rPr>
              <w:t xml:space="preserve">撰写中</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3</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Int J Biol Macromol</w:t>
            </w:r>
          </w:p>
        </w:tc>
        <w:tc>
          <w:tcPr>
            <w:tcW w:type="dxa" w:w="900"/>
            <w:tcBorders>
              <w:top w:val="single" w:color="AAAAAA" w:sz="1"/>
              <w:left w:val="single" w:color="AAAAAA" w:sz="1"/>
              <w:bottom w:val="single" w:color="AAAAAA" w:sz="1"/>
              <w:right w:val="single" w:color="AAAAAA" w:sz="1"/>
            </w:tcBorders>
            <w:shd w:fill="FADBD8"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7.7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2-3月</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30-40%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分子模拟核心</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3498DB" w:val="clear"/>
              </w:rPr>
              <w:t xml:space="preserve">撰写中</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4</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Computers Biol Med</w:t>
            </w:r>
          </w:p>
        </w:tc>
        <w:tc>
          <w:tcPr>
            <w:tcW w:type="dxa" w:w="900"/>
            <w:tcBorders>
              <w:top w:val="single" w:color="AAAAAA" w:sz="1"/>
              <w:left w:val="single" w:color="AAAAAA" w:sz="1"/>
              <w:bottom w:val="single" w:color="AAAAAA" w:sz="1"/>
              <w:right w:val="single" w:color="AAAAAA" w:sz="1"/>
            </w:tcBorders>
            <w:shd w:fill="FADBD8"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7.0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1-2月</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40-50%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ML建模+审稿快</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3498DB" w:val="clear"/>
              </w:rPr>
              <w:t xml:space="preserve">撰写中</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J Transl Med</w:t>
            </w:r>
          </w:p>
        </w:tc>
        <w:tc>
          <w:tcPr>
            <w:tcW w:type="dxa" w:w="900"/>
            <w:tcBorders>
              <w:top w:val="single" w:color="AAAAAA" w:sz="1"/>
              <w:left w:val="single" w:color="AAAAAA" w:sz="1"/>
              <w:bottom w:val="single" w:color="AAAAAA" w:sz="1"/>
              <w:right w:val="single" w:color="AAAAAA" w:sz="1"/>
            </w:tcBorders>
            <w:shd w:fill="FDEBD0"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6.1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1-2月</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50-60%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生物标志物+诊断</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3498DB" w:val="clear"/>
              </w:rPr>
              <w:t xml:space="preserve">撰写中</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6</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Frontiers Immunol</w:t>
            </w:r>
          </w:p>
        </w:tc>
        <w:tc>
          <w:tcPr>
            <w:tcW w:type="dxa" w:w="900"/>
            <w:tcBorders>
              <w:top w:val="single" w:color="AAAAAA" w:sz="1"/>
              <w:left w:val="single" w:color="AAAAAA" w:sz="1"/>
              <w:bottom w:val="single" w:color="AAAAAA" w:sz="1"/>
              <w:right w:val="single" w:color="AAAAAA" w:sz="1"/>
            </w:tcBorders>
            <w:shd w:fill="FDEBD0"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5.7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2-4月</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50-60%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感染免疫方向对口</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3498DB" w:val="clear"/>
              </w:rPr>
              <w:t xml:space="preserve">撰写中</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7</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Brief Funct Genomics</w:t>
            </w:r>
          </w:p>
        </w:tc>
        <w:tc>
          <w:tcPr>
            <w:tcW w:type="dxa" w:w="900"/>
            <w:tcBorders>
              <w:top w:val="single" w:color="AAAAAA" w:sz="1"/>
              <w:left w:val="single" w:color="AAAAAA" w:sz="1"/>
              <w:bottom w:val="single" w:color="AAAAAA" w:sz="1"/>
              <w:right w:val="single" w:color="AAAAAA" w:sz="1"/>
            </w:tcBorders>
            <w:shd w:fill="FDEBD0"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5.8</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2-3月</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50-60%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基因组学方法学</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3498DB" w:val="clear"/>
              </w:rPr>
              <w:t xml:space="preserve">撰写中</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8</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Bioinformatics</w:t>
            </w:r>
          </w:p>
        </w:tc>
        <w:tc>
          <w:tcPr>
            <w:tcW w:type="dxa" w:w="900"/>
            <w:tcBorders>
              <w:top w:val="single" w:color="AAAAAA" w:sz="1"/>
              <w:left w:val="single" w:color="AAAAAA" w:sz="1"/>
              <w:bottom w:val="single" w:color="AAAAAA" w:sz="1"/>
              <w:right w:val="single" w:color="AAAAAA" w:sz="1"/>
            </w:tcBorders>
            <w:shd w:fill="FDEBD0"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4.4</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3-4月</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60-70%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方法学标杆</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BDC3C7" w:val="clear"/>
              </w:rPr>
              <w:t xml:space="preserve">待做</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9</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BMC Infect Dis</w:t>
            </w:r>
          </w:p>
        </w:tc>
        <w:tc>
          <w:tcPr>
            <w:tcW w:type="dxa" w:w="900"/>
            <w:tcBorders>
              <w:top w:val="single" w:color="AAAAAA" w:sz="1"/>
              <w:left w:val="single" w:color="AAAAAA" w:sz="1"/>
              <w:bottom w:val="single" w:color="AAAAAA" w:sz="1"/>
              <w:right w:val="single" w:color="AAAAAA" w:sz="1"/>
            </w:tcBorders>
            <w:shd w:fill="FDEBD0"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3.4</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1-2月</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80%+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感染方向保底</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BDC3C7" w:val="clear"/>
              </w:rPr>
              <w:t xml:space="preserve">待做</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10</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BMC Bioinformatics</w:t>
            </w:r>
          </w:p>
        </w:tc>
        <w:tc>
          <w:tcPr>
            <w:tcW w:type="dxa" w:w="900"/>
            <w:tcBorders>
              <w:top w:val="single" w:color="AAAAAA" w:sz="1"/>
              <w:left w:val="single" w:color="AAAAAA" w:sz="1"/>
              <w:bottom w:val="single" w:color="AAAAAA" w:sz="1"/>
              <w:right w:val="single" w:color="AAAAAA" w:sz="1"/>
            </w:tcBorders>
            <w:shd w:fill="FDEBD0"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2.9</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1-2月</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90%+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终极保底</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BDC3C7" w:val="clear"/>
              </w:rPr>
              <w:t xml:space="preserve">待做</w:t>
            </w:r>
          </w:p>
        </w:tc>
      </w:tr>
    </w:tbl>
    <w:p>
      <w:r>
        <w:br w:type="page"/>
      </w:r>
    </w:p>
    <w:p>
      <w:pPr>
        <w:pStyle w:val="Heading1"/>
      </w:pPr>
      <w:r>
        <w:t xml:space="preserve">三、论文结构</w:t>
      </w:r>
    </w:p>
    <w:p>
      <w:pPr>
        <w:pStyle w:val="Heading2"/>
      </w:pPr>
      <w:r>
        <w:t xml:space="preserve">摘要（300词以内）</w:t>
      </w:r>
    </w:p>
    <w:p>
      <w:pPr>
        <w:pStyle w:val="ListParagraph"/>
        <w:numPr>
          <w:ilvl w:val="0"/>
          <w:numId w:val="2"/>
        </w:numPr>
        <w:spacing w:after="80"/>
      </w:pPr>
      <w:r>
        <w:rPr>
          <w:rFonts w:ascii="Microsoft YaHei" w:cs="Microsoft YaHei" w:eastAsia="Microsoft YaHei" w:hAnsi="Microsoft YaHei"/>
          <w:sz w:val="21"/>
          <w:szCs w:val="21"/>
        </w:rPr>
        <w:t xml:space="preserve">背景：结核病宿主生物标志物研究缺乏可重复的系统计算框架，现有研究多为小样本、单一方法</w:t>
      </w:r>
    </w:p>
    <w:p>
      <w:pPr>
        <w:pStyle w:val="ListParagraph"/>
        <w:numPr>
          <w:ilvl w:val="0"/>
          <w:numId w:val="2"/>
        </w:numPr>
        <w:spacing w:after="80"/>
      </w:pPr>
      <w:r>
        <w:rPr>
          <w:rFonts w:ascii="Microsoft YaHei" w:cs="Microsoft YaHei" w:eastAsia="Microsoft YaHei" w:hAnsi="Microsoft YaHei"/>
          <w:sz w:val="21"/>
          <w:szCs w:val="21"/>
        </w:rPr>
        <w:t xml:space="preserve">方法：构建12模块可复现分析框架，涵盖10个GEO数据集 + scRNA-seq + 分子对接 + 分子动力学模拟 + 基因调控网络</w:t>
      </w:r>
    </w:p>
    <w:p>
      <w:pPr>
        <w:pStyle w:val="ListParagraph"/>
        <w:numPr>
          <w:ilvl w:val="0"/>
          <w:numId w:val="2"/>
        </w:numPr>
        <w:spacing w:after="80"/>
      </w:pPr>
      <w:r>
        <w:rPr>
          <w:rFonts w:ascii="Microsoft YaHei" w:cs="Microsoft YaHei" w:eastAsia="Microsoft YaHei" w:hAnsi="Microsoft YaHei"/>
          <w:sz w:val="21"/>
          <w:szCs w:val="21"/>
        </w:rPr>
        <w:t xml:space="preserve">结果：GBP1 在113种ML模型中一致排名第一(AUC=0.99)，STAT1→GBP1强调控(r=0.953)，对接能-7.6 kcal/mol，50ns MD + MMPBSA 验证结合稳定性，虚拟敲除确认IFN通路扰动</w:t>
      </w:r>
    </w:p>
    <w:p>
      <w:pPr>
        <w:pStyle w:val="ListParagraph"/>
        <w:numPr>
          <w:ilvl w:val="0"/>
          <w:numId w:val="2"/>
        </w:numPr>
        <w:spacing w:after="80"/>
      </w:pPr>
      <w:r>
        <w:rPr>
          <w:rFonts w:ascii="Microsoft YaHei" w:cs="Microsoft YaHei" w:eastAsia="Microsoft YaHei" w:hAnsi="Microsoft YaHei"/>
          <w:sz w:val="21"/>
          <w:szCs w:val="21"/>
        </w:rPr>
        <w:t xml:space="preserve">结论：建立完整的"计算预测→实验验证"证据链，框架可推广至任何感染性疾病的转录组数据分析</w:t>
      </w:r>
    </w:p>
    <w:p>
      <w:pPr>
        <w:pStyle w:val="Heading2"/>
      </w:pPr>
      <w:r>
        <w:t xml:space="preserve">引言</w:t>
      </w:r>
    </w:p>
    <w:p>
      <w:pPr>
        <w:pStyle w:val="ListParagraph"/>
        <w:numPr>
          <w:ilvl w:val="0"/>
          <w:numId w:val="3"/>
        </w:numPr>
        <w:spacing w:after="80"/>
      </w:pPr>
      <w:r>
        <w:rPr>
          <w:rFonts w:ascii="Microsoft YaHei" w:cs="Microsoft YaHei" w:eastAsia="Microsoft YaHei" w:hAnsi="Microsoft YaHei"/>
          <w:sz w:val="21"/>
          <w:szCs w:val="21"/>
        </w:rPr>
        <w:t xml:space="preserve">结核病宿主导向生物标志物的临床需求与研究现状</w:t>
      </w:r>
    </w:p>
    <w:p>
      <w:pPr>
        <w:pStyle w:val="ListParagraph"/>
        <w:numPr>
          <w:ilvl w:val="0"/>
          <w:numId w:val="3"/>
        </w:numPr>
        <w:spacing w:after="80"/>
      </w:pPr>
      <w:r>
        <w:rPr>
          <w:rFonts w:ascii="Microsoft YaHei" w:cs="Microsoft YaHei" w:eastAsia="Microsoft YaHei" w:hAnsi="Microsoft YaHei"/>
          <w:sz w:val="21"/>
          <w:szCs w:val="21"/>
        </w:rPr>
        <w:t xml:space="preserve">现有生物信息学研究的三大瓶颈：数据集碎片化、方法标准不一、缺乏实验验证闭环</w:t>
      </w:r>
    </w:p>
    <w:p>
      <w:pPr>
        <w:pStyle w:val="ListParagraph"/>
        <w:numPr>
          <w:ilvl w:val="0"/>
          <w:numId w:val="3"/>
        </w:numPr>
        <w:spacing w:after="80"/>
      </w:pPr>
      <w:r>
        <w:rPr>
          <w:rFonts w:ascii="Microsoft YaHei" w:cs="Microsoft YaHei" w:eastAsia="Microsoft YaHei" w:hAnsi="Microsoft YaHei"/>
          <w:sz w:val="21"/>
          <w:szCs w:val="21"/>
        </w:rPr>
        <w:t xml:space="preserve">本研究的设计理念：建立可复现的完整分析框架，而非单纯的基因发现</w:t>
      </w:r>
    </w:p>
    <w:p>
      <w:pPr>
        <w:pStyle w:val="ListParagraph"/>
        <w:numPr>
          <w:ilvl w:val="0"/>
          <w:numId w:val="3"/>
        </w:numPr>
        <w:spacing w:after="80"/>
      </w:pPr>
      <w:r>
        <w:rPr>
          <w:rFonts w:ascii="Microsoft YaHei" w:cs="Microsoft YaHei" w:eastAsia="Microsoft YaHei" w:hAnsi="Microsoft YaHei"/>
          <w:sz w:val="21"/>
          <w:szCs w:val="21"/>
        </w:rPr>
        <w:t xml:space="preserve">选择 GBP1 作为框架演示靶点的理由：已有湿实验基础（叶国敏 2023），从10数据集+113模型收敛至此</w:t>
      </w:r>
    </w:p>
    <w:p>
      <w:pPr>
        <w:pStyle w:val="Heading2"/>
      </w:pPr>
      <w:r>
        <w:t xml:space="preserve">方法</w:t>
      </w:r>
    </w:p>
    <w:p>
      <w:pPr>
        <w:spacing w:after="160"/>
      </w:pPr>
      <w:r>
        <w:rPr>
          <w:rFonts w:ascii="Microsoft YaHei" w:cs="Microsoft YaHei" w:eastAsia="Microsoft YaHei" w:hAnsi="Microsoft YaHei"/>
          <w:b/>
          <w:bCs/>
          <w:color w:val="1B4F72"/>
          <w:sz w:val="21"/>
          <w:szCs w:val="21"/>
        </w:rPr>
        <w:t xml:space="preserve">表1. 十二模块方法概览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3400"/>
        <w:gridCol w:w="1800"/>
        <w:gridCol w:w="1726"/>
      </w:tblGrid>
      <w:tr>
        <w:tc>
          <w:tcPr>
            <w:tcW w:type="dxa" w:w="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模块</w:t>
            </w:r>
          </w:p>
        </w:tc>
        <w:tc>
          <w:tcPr>
            <w:tcW w:type="dxa" w:w="13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方法</w:t>
            </w:r>
          </w:p>
        </w:tc>
        <w:tc>
          <w:tcPr>
            <w:tcW w:type="dxa" w:w="3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具体内容</w:t>
            </w:r>
          </w:p>
        </w:tc>
        <w:tc>
          <w:tcPr>
            <w:tcW w:type="dxa" w:w="1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工具/软件</w:t>
            </w:r>
          </w:p>
        </w:tc>
        <w:tc>
          <w:tcPr>
            <w:tcW w:type="dxa" w:w="17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状态</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M1</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数据整合</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10个GEO数据集、2种芯片平台→ComBat批次校正→合并矩阵</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GEOquery/limma/sva</w:t>
            </w:r>
          </w:p>
        </w:tc>
        <w:tc>
          <w:tcPr>
            <w:tcW w:type="dxa" w:w="1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差异+富集</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Limma差异分析→GO/KEGG/GSEA功能通路富集</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clusterProfiler</w:t>
            </w:r>
          </w:p>
        </w:tc>
        <w:tc>
          <w:tcPr>
            <w:tcW w:type="dxa" w:w="1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M3</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WGCNA</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共表达网络构建→免疫相关模块识别</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WGCNA R包</w:t>
            </w:r>
          </w:p>
        </w:tc>
        <w:tc>
          <w:tcPr>
            <w:tcW w:type="dxa" w:w="1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M4</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免疫浸润</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CIBERSORT + ssGSEA 双算法评估22种免疫细胞比例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CIBERSORT/GSVA</w:t>
            </w:r>
          </w:p>
        </w:tc>
        <w:tc>
          <w:tcPr>
            <w:tcW w:type="dxa" w:w="1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M5</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113种ML</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Lasso/RF/XGBoost/SVM等全比较→SHAP可解释性排名</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caret/SHAP</w:t>
            </w:r>
          </w:p>
        </w:tc>
        <w:tc>
          <w:tcPr>
            <w:tcW w:type="dxa" w:w="1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M6</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分子对接</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GBP1 vs FDA抗结核药+天然产物→结合能+3D构象</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AutoDock Vina</w:t>
            </w:r>
          </w:p>
        </w:tc>
        <w:tc>
          <w:tcPr>
            <w:tcW w:type="dxa" w:w="1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M7</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MD模拟</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GBP1-白藜芦醇50ns GPU模拟→RMSD/RMSF/Rg/SASA质控</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GROMACS 2020.6</w:t>
            </w:r>
          </w:p>
        </w:tc>
        <w:tc>
          <w:tcPr>
            <w:tcW w:type="dxa" w:w="1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M8</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MMPBSA</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结合自由能ΔG计算+残基能量分解</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manual+rerun</w:t>
            </w:r>
          </w:p>
        </w:tc>
        <w:tc>
          <w:tcPr>
            <w:tcW w:type="dxa" w:w="1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M9</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虚拟敲除</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scTenifoldKnk数学模拟敲除GBP1→全转录组扰动谱</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scTenifoldKnk</w:t>
            </w:r>
          </w:p>
        </w:tc>
        <w:tc>
          <w:tcPr>
            <w:tcW w:type="dxa" w:w="1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M10</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GRN网络</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GRNBoost2推断TF→靶基因调控→STAT1→GBP1(r=0.953)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arboreto/networkx</w:t>
            </w:r>
          </w:p>
        </w:tc>
        <w:tc>
          <w:tcPr>
            <w:tcW w:type="dxa" w:w="1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M11</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反卷积</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BayesPrism将bulk解至巨噬细胞亚型→GBP1精准定位</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BayesPrism</w:t>
            </w:r>
          </w:p>
        </w:tc>
        <w:tc>
          <w:tcPr>
            <w:tcW w:type="dxa" w:w="1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M12</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群体验证</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CELLxGENE Census 6100万细胞跨数据集表达一致性</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cellxgene-census</w:t>
            </w:r>
          </w:p>
        </w:tc>
        <w:tc>
          <w:tcPr>
            <w:tcW w:type="dxa" w:w="17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BDC3C7" w:val="clear"/>
              </w:rPr>
              <w:t xml:space="preserve">待做</w:t>
            </w:r>
          </w:p>
        </w:tc>
      </w:tr>
    </w:tbl>
    <w:p>
      <w:pPr>
        <w:pStyle w:val="Heading2"/>
      </w:pPr>
      <w:r>
        <w:t xml:space="preserve">结果</w:t>
      </w:r>
    </w:p>
    <w:p>
      <w:pPr>
        <w:pStyle w:val="Heading3"/>
      </w:pPr>
      <w:r>
        <w:t xml:space="preserve">3.1 数据整合与差异表达分析 (M1-M2)</w:t>
      </w:r>
    </w:p>
    <w:p>
      <w:pPr>
        <w:pStyle w:val="ListParagraph"/>
        <w:numPr>
          <w:ilvl w:val="0"/>
          <w:numId w:val="2"/>
        </w:numPr>
        <w:spacing w:after="80"/>
      </w:pPr>
      <w:r>
        <w:rPr>
          <w:rFonts w:ascii="Microsoft YaHei" w:cs="Microsoft YaHei" w:eastAsia="Microsoft YaHei" w:hAnsi="Microsoft YaHei"/>
          <w:sz w:val="21"/>
          <w:szCs w:val="21"/>
        </w:rPr>
        <w:t xml:space="preserve">10数据集、2平台、800+样本，ComBat批次校正后PCA清晰分离LTBI与HC</w:t>
      </w:r>
    </w:p>
    <w:p>
      <w:pPr>
        <w:pStyle w:val="ListParagraph"/>
        <w:numPr>
          <w:ilvl w:val="0"/>
          <w:numId w:val="2"/>
        </w:numPr>
        <w:spacing w:after="80"/>
      </w:pPr>
      <w:r>
        <w:rPr>
          <w:rFonts w:ascii="Microsoft YaHei" w:cs="Microsoft YaHei" w:eastAsia="Microsoft YaHei" w:hAnsi="Microsoft YaHei"/>
          <w:sz w:val="21"/>
          <w:szCs w:val="21"/>
        </w:rPr>
        <w:t xml:space="preserve">GBP1/STAT1/SP110 在所有队列中一致高表达于LTBI组</w:t>
      </w:r>
    </w:p>
    <w:p>
      <w:pPr>
        <w:pStyle w:val="Heading3"/>
      </w:pPr>
      <w:r>
        <w:t xml:space="preserve">3.2 共表达网络与免疫微环境 (M3-M4)</w:t>
      </w:r>
    </w:p>
    <w:p>
      <w:pPr>
        <w:pStyle w:val="ListParagraph"/>
        <w:numPr>
          <w:ilvl w:val="0"/>
          <w:numId w:val="2"/>
        </w:numPr>
        <w:spacing w:after="80"/>
      </w:pPr>
      <w:r>
        <w:rPr>
          <w:rFonts w:ascii="Microsoft YaHei" w:cs="Microsoft YaHei" w:eastAsia="Microsoft YaHei" w:hAnsi="Microsoft YaHei"/>
          <w:sz w:val="21"/>
          <w:szCs w:val="21"/>
        </w:rPr>
        <w:t xml:space="preserve">GBP1位于turquoise模块（IFN应答），与M1巨噬细胞浸润显著正相关</w:t>
      </w:r>
    </w:p>
    <w:p>
      <w:pPr>
        <w:pStyle w:val="Heading3"/>
      </w:pPr>
      <w:r>
        <w:t xml:space="preserve">3.3 113种机器学习与SHAP解释 (M5)</w:t>
      </w:r>
    </w:p>
    <w:p>
      <w:pPr>
        <w:pStyle w:val="ListParagraph"/>
        <w:numPr>
          <w:ilvl w:val="0"/>
          <w:numId w:val="2"/>
        </w:numPr>
        <w:spacing w:after="80"/>
      </w:pPr>
      <w:r>
        <w:rPr>
          <w:rFonts w:ascii="Microsoft YaHei" w:cs="Microsoft YaHei" w:eastAsia="Microsoft YaHei" w:hAnsi="Microsoft YaHei"/>
          <w:sz w:val="21"/>
          <w:szCs w:val="21"/>
        </w:rPr>
        <w:t xml:space="preserve">Lasso+Stepglm组合最优(AUC=0.99)，SHAP排名GBP1为全部模型共享的top1特征</w:t>
      </w:r>
    </w:p>
    <w:p>
      <w:pPr>
        <w:pStyle w:val="Heading3"/>
      </w:pPr>
      <w:r>
        <w:t xml:space="preserve">3.4 分子对接与分子动力学 (M6-M8)</w:t>
      </w:r>
    </w:p>
    <w:p>
      <w:pPr>
        <w:pStyle w:val="ListParagraph"/>
        <w:numPr>
          <w:ilvl w:val="0"/>
          <w:numId w:val="2"/>
        </w:numPr>
        <w:spacing w:after="80"/>
      </w:pPr>
      <w:r>
        <w:rPr>
          <w:rFonts w:ascii="Microsoft YaHei" w:cs="Microsoft YaHei" w:eastAsia="Microsoft YaHei" w:hAnsi="Microsoft YaHei"/>
          <w:sz w:val="21"/>
          <w:szCs w:val="21"/>
        </w:rPr>
        <w:t xml:space="preserve">GBP1-白藜芦醇对接能-7.6 kcal/mol，50ns MD稳定(RMSD仅为0.335±0.059nm)</w:t>
      </w:r>
    </w:p>
    <w:p>
      <w:pPr>
        <w:pStyle w:val="ListParagraph"/>
        <w:numPr>
          <w:ilvl w:val="0"/>
          <w:numId w:val="2"/>
        </w:numPr>
        <w:spacing w:after="80"/>
      </w:pPr>
      <w:r>
        <w:rPr>
          <w:rFonts w:ascii="Microsoft YaHei" w:cs="Microsoft YaHei" w:eastAsia="Microsoft YaHei" w:hAnsi="Microsoft YaHei"/>
          <w:sz w:val="21"/>
          <w:szCs w:val="21"/>
        </w:rPr>
        <w:t xml:space="preserve">MMPBSA结合自由能确认vdW主导(ΔE_vdw=-168 kJ/mol)，静电弱(ΔE_elec=-8 kJ/mol)，与0个氢键一致</w:t>
      </w:r>
    </w:p>
    <w:p>
      <w:pPr>
        <w:pStyle w:val="Heading3"/>
      </w:pPr>
      <w:r>
        <w:t xml:space="preserve">3.5 单细胞扰动与基因调控网络 (M9-M10)</w:t>
      </w:r>
    </w:p>
    <w:p>
      <w:pPr>
        <w:pStyle w:val="ListParagraph"/>
        <w:numPr>
          <w:ilvl w:val="0"/>
          <w:numId w:val="2"/>
        </w:numPr>
        <w:spacing w:after="80"/>
      </w:pPr>
      <w:r>
        <w:rPr>
          <w:rFonts w:ascii="Microsoft YaHei" w:cs="Microsoft YaHei" w:eastAsia="Microsoft YaHei" w:hAnsi="Microsoft YaHei"/>
          <w:sz w:val="21"/>
          <w:szCs w:val="21"/>
        </w:rPr>
        <w:t xml:space="preserve">scTenifoldKnk虚拟敲除GBP1→5001个基因差异调控，MALAT1排名第2</w:t>
      </w:r>
    </w:p>
    <w:p>
      <w:pPr>
        <w:pStyle w:val="ListParagraph"/>
        <w:numPr>
          <w:ilvl w:val="0"/>
          <w:numId w:val="2"/>
        </w:numPr>
        <w:spacing w:after="80"/>
      </w:pPr>
      <w:r>
        <w:rPr>
          <w:rFonts w:ascii="Microsoft YaHei" w:cs="Microsoft YaHei" w:eastAsia="Microsoft YaHei" w:hAnsi="Microsoft YaHei"/>
          <w:sz w:val="21"/>
          <w:szCs w:val="21"/>
        </w:rPr>
        <w:t xml:space="preserve">GRNBoost2全基因组推断：STAT1→GBP1 r=0.953 (p=5.7×10⁻⁹⁴)，IFN-JAK-STAT信号轴核心</w:t>
      </w:r>
    </w:p>
    <w:p>
      <w:pPr>
        <w:pStyle w:val="Heading3"/>
      </w:pPr>
      <w:r>
        <w:t xml:space="preserve">3.6 巨噬细胞精准定位与群体验证 (M11-M12)</w:t>
      </w:r>
    </w:p>
    <w:p>
      <w:pPr>
        <w:pStyle w:val="ListParagraph"/>
        <w:numPr>
          <w:ilvl w:val="0"/>
          <w:numId w:val="2"/>
        </w:numPr>
        <w:spacing w:after="80"/>
      </w:pPr>
      <w:r>
        <w:rPr>
          <w:rFonts w:ascii="Microsoft YaHei" w:cs="Microsoft YaHei" w:eastAsia="Microsoft YaHei" w:hAnsi="Microsoft YaHei"/>
          <w:sz w:val="21"/>
          <w:szCs w:val="21"/>
        </w:rPr>
        <w:t xml:space="preserve">BayesPrism将GBP1表达定位于肺泡巨噬细胞亚型，与CIBERSORT结果互为验证</w:t>
      </w:r>
    </w:p>
    <w:p>
      <w:pPr>
        <w:pStyle w:val="Heading2"/>
      </w:pPr>
      <w:r>
        <w:t xml:space="preserve">讨论</w:t>
      </w:r>
    </w:p>
    <w:p>
      <w:pPr>
        <w:pStyle w:val="ListParagraph"/>
        <w:numPr>
          <w:ilvl w:val="0"/>
          <w:numId w:val="3"/>
        </w:numPr>
        <w:spacing w:after="80"/>
      </w:pPr>
      <w:r>
        <w:rPr>
          <w:rFonts w:ascii="Microsoft YaHei" w:cs="Microsoft YaHei" w:eastAsia="Microsoft YaHei" w:hAnsi="Microsoft YaHei"/>
          <w:sz w:val="21"/>
          <w:szCs w:val="21"/>
        </w:rPr>
        <w:t xml:space="preserve">GBP1的生物学合理性：IFN-γ→STAT1→GBP1轴的完整证据链</w:t>
      </w:r>
    </w:p>
    <w:p>
      <w:pPr>
        <w:pStyle w:val="ListParagraph"/>
        <w:numPr>
          <w:ilvl w:val="0"/>
          <w:numId w:val="3"/>
        </w:numPr>
        <w:spacing w:after="80"/>
      </w:pPr>
      <w:r>
        <w:rPr>
          <w:rFonts w:ascii="Microsoft YaHei" w:cs="Microsoft YaHei" w:eastAsia="Microsoft YaHei" w:hAnsi="Microsoft YaHei"/>
          <w:sz w:val="21"/>
          <w:szCs w:val="21"/>
        </w:rPr>
        <w:t xml:space="preserve">框架方法学的普适价值：换暴露/结局数据即可推广至任何感染性疾病</w:t>
      </w:r>
    </w:p>
    <w:p>
      <w:pPr>
        <w:pStyle w:val="ListParagraph"/>
        <w:numPr>
          <w:ilvl w:val="0"/>
          <w:numId w:val="3"/>
        </w:numPr>
        <w:spacing w:after="80"/>
      </w:pPr>
      <w:r>
        <w:rPr>
          <w:rFonts w:ascii="Microsoft YaHei" w:cs="Microsoft YaHei" w:eastAsia="Microsoft YaHei" w:hAnsi="Microsoft YaHei"/>
          <w:sz w:val="21"/>
          <w:szCs w:val="21"/>
        </w:rPr>
        <w:t xml:space="preserve">与现有TB生信文献的系统对比（Wang 2024 Front Microbiol, Li 2023 Front Immunol, Shan 2024 Sci Rep）</w:t>
      </w:r>
    </w:p>
    <w:p>
      <w:pPr>
        <w:pStyle w:val="ListParagraph"/>
        <w:numPr>
          <w:ilvl w:val="0"/>
          <w:numId w:val="3"/>
        </w:numPr>
        <w:spacing w:after="80"/>
      </w:pPr>
      <w:r>
        <w:rPr>
          <w:rFonts w:ascii="Microsoft YaHei" w:cs="Microsoft YaHei" w:eastAsia="Microsoft YaHei" w:hAnsi="Microsoft YaHei"/>
          <w:sz w:val="21"/>
          <w:szCs w:val="21"/>
        </w:rPr>
        <w:t xml:space="preserve">局限性：MD仅50ns(拟扩至100ns)、MMPBSA采用估算方案、湿实验数据来自他人已发表工作</w:t>
      </w:r>
    </w:p>
    <w:p>
      <w:pPr>
        <w:pStyle w:val="ListParagraph"/>
        <w:numPr>
          <w:ilvl w:val="0"/>
          <w:numId w:val="3"/>
        </w:numPr>
        <w:spacing w:after="80"/>
      </w:pPr>
      <w:r>
        <w:rPr>
          <w:rFonts w:ascii="Microsoft YaHei" w:cs="Microsoft YaHei" w:eastAsia="Microsoft YaHei" w:hAnsi="Microsoft YaHei"/>
          <w:sz w:val="21"/>
          <w:szCs w:val="21"/>
        </w:rPr>
        <w:t xml:space="preserve">展望：GBP1激动剂/抑制剂筛选 + 前瞻性队列验证</w:t>
      </w:r>
    </w:p>
    <w:p>
      <w:r>
        <w:br w:type="page"/>
      </w:r>
    </w:p>
    <w:p>
      <w:pPr>
        <w:pStyle w:val="Heading1"/>
      </w:pPr>
      <w:r>
        <w:t xml:space="preserve">四、图表计划</w:t>
      </w:r>
    </w:p>
    <w:p>
      <w:pPr>
        <w:pStyle w:val="Heading2"/>
      </w:pPr>
      <w:r>
        <w:t xml:space="preserve">主图（10张）</w:t>
      </w:r>
    </w:p>
    <w:p>
      <w:pPr>
        <w:spacing w:after="160"/>
      </w:pPr>
      <w:r>
        <w:rPr>
          <w:rFonts w:ascii="Microsoft YaHei" w:cs="Microsoft YaHei" w:eastAsia="Microsoft YaHei" w:hAnsi="Microsoft YaHei"/>
          <w:b/>
          <w:bCs/>
          <w:color w:val="1B4F72"/>
          <w:sz w:val="21"/>
          <w:szCs w:val="21"/>
        </w:rPr>
        <w:t xml:space="preserve">表2. 主图规划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1200"/>
        <w:gridCol w:w="1600"/>
        <w:gridCol w:w="1126"/>
        <w:gridCol w:w="1000"/>
      </w:tblGrid>
      <w:tr>
        <w:tc>
          <w:tcPr>
            <w:tcW w:type="dxa" w:w="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图</w:t>
            </w:r>
          </w:p>
        </w:tc>
        <w:tc>
          <w:tcPr>
            <w:tcW w:type="dxa" w:w="33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内容</w:t>
            </w:r>
          </w:p>
        </w:tc>
        <w:tc>
          <w:tcPr>
            <w:tcW w:type="dxa" w:w="1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来源</w:t>
            </w:r>
          </w:p>
        </w:tc>
        <w:tc>
          <w:tcPr>
            <w:tcW w:type="dxa" w:w="1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类型</w:t>
            </w:r>
          </w:p>
        </w:tc>
        <w:tc>
          <w:tcPr>
            <w:tcW w:type="dxa" w:w="11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状态</w:t>
            </w:r>
          </w:p>
        </w:tc>
        <w:tc>
          <w:tcPr>
            <w:tcW w:type="dxa" w:w="1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优先级</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1</w:t>
            </w:r>
          </w:p>
        </w:tc>
        <w:tc>
          <w:tcPr>
            <w:tcW w:type="dxa" w:w="3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12模块闭环框架总览流程图</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全局</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示意图</w:t>
            </w:r>
          </w:p>
        </w:tc>
        <w:tc>
          <w:tcPr>
            <w:tcW w:type="dxa" w:w="11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3498DB" w:val="clear"/>
              </w:rPr>
              <w:t xml:space="preserve">撰写中</w:t>
            </w:r>
          </w:p>
        </w:tc>
        <w:tc>
          <w:tcPr>
            <w:tcW w:type="dxa" w:w="1000"/>
            <w:tcBorders>
              <w:top w:val="single" w:color="AAAAAA" w:sz="1"/>
              <w:left w:val="single" w:color="AAAAAA" w:sz="1"/>
              <w:bottom w:val="single" w:color="AAAAAA" w:sz="1"/>
              <w:right w:val="single" w:color="AAAAAA" w:sz="1"/>
            </w:tcBorders>
            <w:shd w:fill="FDEBD0"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必需</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2</w:t>
            </w:r>
          </w:p>
        </w:tc>
        <w:tc>
          <w:tcPr>
            <w:tcW w:type="dxa" w:w="3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跨平台PCA + DEG火山图 + GO/KEGG气泡图</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M1-M2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多面板</w:t>
            </w:r>
          </w:p>
        </w:tc>
        <w:tc>
          <w:tcPr>
            <w:tcW w:type="dxa" w:w="11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c>
          <w:tcPr>
            <w:tcW w:type="dxa" w:w="1000"/>
            <w:tcBorders>
              <w:top w:val="single" w:color="AAAAAA" w:sz="1"/>
              <w:left w:val="single" w:color="AAAAAA" w:sz="1"/>
              <w:bottom w:val="single" w:color="AAAAAA" w:sz="1"/>
              <w:right w:val="single" w:color="AAAAAA" w:sz="1"/>
            </w:tcBorders>
            <w:shd w:fill="FDEBD0"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必需</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3</w:t>
            </w:r>
          </w:p>
        </w:tc>
        <w:tc>
          <w:tcPr>
            <w:tcW w:type="dxa" w:w="3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WGCNA模块树 + CIBERSORT/ssGSEA免疫热图</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M3-M4</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多面板</w:t>
            </w:r>
          </w:p>
        </w:tc>
        <w:tc>
          <w:tcPr>
            <w:tcW w:type="dxa" w:w="11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c>
          <w:tcPr>
            <w:tcW w:type="dxa" w:w="1000"/>
            <w:tcBorders>
              <w:top w:val="single" w:color="AAAAAA" w:sz="1"/>
              <w:left w:val="single" w:color="AAAAAA" w:sz="1"/>
              <w:bottom w:val="single" w:color="AAAAAA" w:sz="1"/>
              <w:right w:val="single" w:color="AAAAAA" w:sz="1"/>
            </w:tcBorders>
            <w:shd w:fill="FDEBD0"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必需</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4</w:t>
            </w:r>
          </w:p>
        </w:tc>
        <w:tc>
          <w:tcPr>
            <w:tcW w:type="dxa" w:w="3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113种ML AUC热图 + 最优ROC + SHAP排名+瀑布图</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M5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多面板</w:t>
            </w:r>
          </w:p>
        </w:tc>
        <w:tc>
          <w:tcPr>
            <w:tcW w:type="dxa" w:w="11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c>
          <w:tcPr>
            <w:tcW w:type="dxa" w:w="1000"/>
            <w:tcBorders>
              <w:top w:val="single" w:color="AAAAAA" w:sz="1"/>
              <w:left w:val="single" w:color="AAAAAA" w:sz="1"/>
              <w:bottom w:val="single" w:color="AAAAAA" w:sz="1"/>
              <w:right w:val="single" w:color="AAAAAA" w:sz="1"/>
            </w:tcBorders>
            <w:shd w:fill="FDEBD0"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必需</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5</w:t>
            </w:r>
          </w:p>
        </w:tc>
        <w:tc>
          <w:tcPr>
            <w:tcW w:type="dxa" w:w="3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分子对接结合能热图 + 3D结合构象</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M6</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多面板</w:t>
            </w:r>
          </w:p>
        </w:tc>
        <w:tc>
          <w:tcPr>
            <w:tcW w:type="dxa" w:w="11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c>
          <w:tcPr>
            <w:tcW w:type="dxa" w:w="1000"/>
            <w:tcBorders>
              <w:top w:val="single" w:color="AAAAAA" w:sz="1"/>
              <w:left w:val="single" w:color="AAAAAA" w:sz="1"/>
              <w:bottom w:val="single" w:color="AAAAAA" w:sz="1"/>
              <w:right w:val="single" w:color="AAAAAA" w:sz="1"/>
            </w:tcBorders>
            <w:shd w:fill="FDEBD0"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必需</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6</w:t>
            </w:r>
          </w:p>
        </w:tc>
        <w:tc>
          <w:tcPr>
            <w:tcW w:type="dxa" w:w="3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MD质控(RMSD/RMSF/Rg/SASA) 4合1面板</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M7</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多面板</w:t>
            </w:r>
          </w:p>
        </w:tc>
        <w:tc>
          <w:tcPr>
            <w:tcW w:type="dxa" w:w="11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c>
          <w:tcPr>
            <w:tcW w:type="dxa" w:w="1000"/>
            <w:tcBorders>
              <w:top w:val="single" w:color="AAAAAA" w:sz="1"/>
              <w:left w:val="single" w:color="AAAAAA" w:sz="1"/>
              <w:bottom w:val="single" w:color="AAAAAA" w:sz="1"/>
              <w:right w:val="single" w:color="AAAAAA" w:sz="1"/>
            </w:tcBorders>
            <w:shd w:fill="FDEBD0"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必需</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7</w:t>
            </w:r>
          </w:p>
        </w:tc>
        <w:tc>
          <w:tcPr>
            <w:tcW w:type="dxa" w:w="3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MMPBSA能量分解柱状图 + 交互能时间序列</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M8</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多面板</w:t>
            </w:r>
          </w:p>
        </w:tc>
        <w:tc>
          <w:tcPr>
            <w:tcW w:type="dxa" w:w="11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c>
          <w:tcPr>
            <w:tcW w:type="dxa" w:w="1000"/>
            <w:tcBorders>
              <w:top w:val="single" w:color="AAAAAA" w:sz="1"/>
              <w:left w:val="single" w:color="AAAAAA" w:sz="1"/>
              <w:bottom w:val="single" w:color="AAAAAA" w:sz="1"/>
              <w:right w:val="single" w:color="AAAAAA" w:sz="1"/>
            </w:tcBorders>
            <w:shd w:fill="FDEBD0"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必需</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8</w:t>
            </w:r>
          </w:p>
        </w:tc>
        <w:tc>
          <w:tcPr>
            <w:tcW w:type="dxa" w:w="3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scTenifoldKnk火山图 + GO扰动通路网络</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M9</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多面板</w:t>
            </w:r>
          </w:p>
        </w:tc>
        <w:tc>
          <w:tcPr>
            <w:tcW w:type="dxa" w:w="11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c>
          <w:tcPr>
            <w:tcW w:type="dxa" w:w="10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亮点</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9</w:t>
            </w:r>
          </w:p>
        </w:tc>
        <w:tc>
          <w:tcPr>
            <w:tcW w:type="dxa" w:w="3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STAT1→GBP1→IFN调控网络图 + TF排名柱状图</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M10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网络图</w:t>
            </w:r>
          </w:p>
        </w:tc>
        <w:tc>
          <w:tcPr>
            <w:tcW w:type="dxa" w:w="11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c>
          <w:tcPr>
            <w:tcW w:type="dxa" w:w="10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亮点</w:t>
            </w:r>
          </w:p>
        </w:tc>
      </w:tr>
      <w:tr>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10</w:t>
            </w:r>
          </w:p>
        </w:tc>
        <w:tc>
          <w:tcPr>
            <w:tcW w:type="dxa" w:w="3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BayesPrism巨噬细胞亚型热图 + Census小提琴图</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M11-M12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多面板</w:t>
            </w:r>
          </w:p>
        </w:tc>
        <w:tc>
          <w:tcPr>
            <w:tcW w:type="dxa" w:w="11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F39C12" w:val="clear"/>
              </w:rPr>
              <w:t xml:space="preserve">进行中</w:t>
            </w:r>
          </w:p>
        </w:tc>
        <w:tc>
          <w:tcPr>
            <w:tcW w:type="dxa" w:w="1000"/>
            <w:tcBorders>
              <w:top w:val="single" w:color="AAAAAA" w:sz="1"/>
              <w:left w:val="single" w:color="AAAAAA" w:sz="1"/>
              <w:bottom w:val="single" w:color="AAAAAA" w:sz="1"/>
              <w:right w:val="single" w:color="AAAAAA" w:sz="1"/>
            </w:tcBorders>
            <w:shd w:fill="E8DAEF"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补充</w:t>
            </w:r>
          </w:p>
        </w:tc>
      </w:tr>
    </w:tbl>
    <w:p>
      <w:pPr>
        <w:pStyle w:val="Heading2"/>
      </w:pPr>
      <w:r>
        <w:t xml:space="preserve">补充图（4张）</w:t>
      </w:r>
    </w:p>
    <w:p>
      <w:pPr>
        <w:spacing w:after="160"/>
      </w:pPr>
      <w:r>
        <w:rPr>
          <w:rFonts w:ascii="Microsoft YaHei" w:cs="Microsoft YaHei" w:eastAsia="Microsoft YaHei" w:hAnsi="Microsoft YaHei"/>
          <w:b/>
          <w:bCs/>
          <w:color w:val="1B4F72"/>
          <w:sz w:val="21"/>
          <w:szCs w:val="21"/>
        </w:rPr>
        <w:t xml:space="preserve">表3. 补充图规划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200"/>
        <w:gridCol w:w="1600"/>
        <w:gridCol w:w="1426"/>
      </w:tblGrid>
      <w:tr>
        <w:tc>
          <w:tcPr>
            <w:tcW w:type="dxa" w:w="1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附图</w:t>
            </w:r>
          </w:p>
        </w:tc>
        <w:tc>
          <w:tcPr>
            <w:tcW w:type="dxa" w:w="3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内容</w:t>
            </w:r>
          </w:p>
        </w:tc>
        <w:tc>
          <w:tcPr>
            <w:tcW w:type="dxa" w:w="1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来源</w:t>
            </w:r>
          </w:p>
        </w:tc>
        <w:tc>
          <w:tcPr>
            <w:tcW w:type="dxa" w:w="1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类型</w:t>
            </w:r>
          </w:p>
        </w:tc>
        <w:tc>
          <w:tcPr>
            <w:tcW w:type="dxa" w:w="14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状态</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S1</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每数据集DEG重叠Venn图 + 批次校正前后PCA对比</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M1-M2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多面板</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S2</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Top10 ML模型独立ROC曲线 + 参数调优过程</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M5</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多面板</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S3</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M9 GBP1敲除5001基因完整表格 + 通路富集详情</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M9</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表格</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S4</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GRN全网络(9621边) + TF排名100强</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M10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网络图</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color w:val="FFFFFF"/>
                <w:sz w:val="17"/>
                <w:szCs w:val="17"/>
                <w:shd w:fill="27AE60" w:val="clear"/>
              </w:rPr>
              <w:t xml:space="preserve">已完成</w:t>
            </w:r>
          </w:p>
        </w:tc>
      </w:tr>
    </w:tbl>
    <w:p>
      <w:r>
        <w:br w:type="page"/>
      </w:r>
    </w:p>
    <w:p>
      <w:pPr>
        <w:pStyle w:val="Heading1"/>
      </w:pPr>
      <w:r>
        <w:t xml:space="preserve">五、写作时间线（六周）</w:t>
      </w:r>
    </w:p>
    <w:p>
      <w:pPr>
        <w:spacing w:after="160"/>
      </w:pPr>
      <w:r>
        <w:rPr>
          <w:rFonts w:ascii="Microsoft YaHei" w:cs="Microsoft YaHei" w:eastAsia="Microsoft YaHei" w:hAnsi="Microsoft YaHei"/>
          <w:b/>
          <w:bCs/>
          <w:color w:val="1B4F72"/>
          <w:sz w:val="21"/>
          <w:szCs w:val="21"/>
        </w:rPr>
        <w:t xml:space="preserve">表4. 六周写作任务分解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2400"/>
        <w:gridCol w:w="2226"/>
      </w:tblGrid>
      <w:tr>
        <w:tc>
          <w:tcPr>
            <w:tcW w:type="dxa" w:w="1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周次</w:t>
            </w:r>
          </w:p>
        </w:tc>
        <w:tc>
          <w:tcPr>
            <w:tcW w:type="dxa" w:w="3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写作任务</w:t>
            </w:r>
          </w:p>
        </w:tc>
        <w:tc>
          <w:tcPr>
            <w:tcW w:type="dxa" w:w="2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产出物</w:t>
            </w:r>
          </w:p>
        </w:tc>
        <w:tc>
          <w:tcPr>
            <w:tcW w:type="dxa" w:w="22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备注</w:t>
            </w:r>
          </w:p>
        </w:tc>
      </w:tr>
      <w:tr>
        <w:tc>
          <w:tcPr>
            <w:tcW w:type="dxa" w:w="10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第1周
7/7-13</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摘要 + 方法初稿
图1-5组装
文献整理+BibTeX
M7扩至100ns（后台）</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方法v1
图1-5初稿</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方法学部分数据齐备
不需额外计算
直接开始写</w:t>
            </w:r>
          </w:p>
        </w:tc>
      </w:tr>
      <w:tr>
        <w:tc>
          <w:tcPr>
            <w:tcW w:type="dxa" w:w="10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第2周
7/14-20</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结果3.1-3.4撰写
图6-8组装
M12 Census（本机VPN）
M7 100ns质控更新</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结果3.1-3.4 v1
图6-8初稿</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核心结果集中
MD/MMPBSA/GRN
图已有数据</w:t>
            </w:r>
          </w:p>
        </w:tc>
      </w:tr>
      <w:tr>
        <w:tc>
          <w:tcPr>
            <w:tcW w:type="dxa" w:w="10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第3周
7/21-27</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结果3.5-3.6撰写
图9-10组装
引言v1撰写</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结果3.5-3.6
引言v1
图9-10</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单细胞+网络部分
引言综述框架</w:t>
            </w:r>
          </w:p>
        </w:tc>
      </w:tr>
      <w:tr>
        <w:tc>
          <w:tcPr>
            <w:tcW w:type="dxa" w:w="10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第4周
7/28-8/3</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讨论v1撰写
全文初稿组装
内部一致性检查
补充材料整理</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完整初稿v1
补充材料</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讨论差异化矩阵
局限性与展望</w:t>
            </w:r>
          </w:p>
        </w:tc>
      </w:tr>
      <w:tr>
        <w:tc>
          <w:tcPr>
            <w:tcW w:type="dxa" w:w="10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第5周
8/4-10</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全文修订润色
图表美化+统一
Cover Letter起草
格式校核</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修订稿v2
Cover Letter</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语言润色
图表终稿
投稿格式检查</w:t>
            </w:r>
          </w:p>
        </w:tc>
      </w:tr>
      <w:tr>
        <w:tc>
          <w:tcPr>
            <w:tcW w:type="dxa" w:w="1000"/>
            <w:tcBorders>
              <w:top w:val="single" w:color="AAAAAA" w:sz="1"/>
              <w:left w:val="single" w:color="AAAAAA" w:sz="1"/>
              <w:bottom w:val="single" w:color="AAAAAA" w:sz="1"/>
              <w:right w:val="single" w:color="AAAAAA" w:sz="1"/>
            </w:tcBorders>
            <w:shd w:fill="EBF5FB"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第6周
8/11-17</w:t>
            </w:r>
          </w:p>
        </w:tc>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终稿质量检查
投稿 Brief Bioinform
备选方案就绪</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投稿稿
准备转投</w:t>
            </w:r>
          </w:p>
        </w:tc>
        <w:tc>
          <w:tcPr>
            <w:tcW w:type="dxa" w:w="22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val="false"/>
                <w:bCs w:val="false"/>
                <w:sz w:val="19"/>
                <w:szCs w:val="19"/>
              </w:rPr>
              <w:t xml:space="preserve">格式验收
提交或转投
备选期刊格式准备</w:t>
            </w:r>
          </w:p>
        </w:tc>
      </w:tr>
    </w:tbl>
    <w:p>
      <w:r>
        <w:br w:type="page"/>
      </w:r>
    </w:p>
    <w:p>
      <w:pPr>
        <w:pStyle w:val="Heading1"/>
      </w:pPr>
      <w:r>
        <w:t xml:space="preserve">六、差异化亮点矩阵</w:t>
      </w:r>
    </w:p>
    <w:p>
      <w:pPr>
        <w:spacing w:after="160"/>
      </w:pPr>
      <w:r>
        <w:rPr>
          <w:rFonts w:ascii="Microsoft YaHei" w:cs="Microsoft YaHei" w:eastAsia="Microsoft YaHei" w:hAnsi="Microsoft YaHei"/>
          <w:b/>
          <w:bCs/>
          <w:color w:val="1B4F72"/>
          <w:sz w:val="21"/>
          <w:szCs w:val="21"/>
        </w:rPr>
        <w:t xml:space="preserve">表6. 与竞品论文的全面对比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026"/>
      </w:tblGrid>
      <w:tr>
        <w:tc>
          <w:tcPr>
            <w:tcW w:type="dxa" w:w="2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对比维度</w:t>
            </w:r>
          </w:p>
        </w:tc>
        <w:tc>
          <w:tcPr>
            <w:tcW w:type="dxa" w:w="1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Wang 2024</w:t>
            </w:r>
          </w:p>
        </w:tc>
        <w:tc>
          <w:tcPr>
            <w:tcW w:type="dxa" w:w="1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Li 2023</w:t>
            </w:r>
          </w:p>
        </w:tc>
        <w:tc>
          <w:tcPr>
            <w:tcW w:type="dxa" w:w="1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Shan 2024</w:t>
            </w:r>
          </w:p>
        </w:tc>
        <w:tc>
          <w:tcPr>
            <w:tcW w:type="dxa" w:w="2026"/>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pPr>
              <w:jc w:val="center"/>
            </w:pPr>
            <w:r>
              <w:rPr>
                <w:rFonts w:ascii="Microsoft YaHei" w:cs="Microsoft YaHei" w:eastAsia="Microsoft YaHei" w:hAnsi="Microsoft YaHei"/>
                <w:b/>
                <w:bCs/>
                <w:color w:val="FFFFFF"/>
                <w:sz w:val="20"/>
                <w:szCs w:val="20"/>
              </w:rPr>
              <w:t xml:space="preserve">本研究 ★</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研究定位</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基因发现</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基因发现</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基因发现</w:t>
            </w:r>
          </w:p>
        </w:tc>
        <w:tc>
          <w:tcPr>
            <w:tcW w:type="dxa" w:w="2026"/>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方法框架+实验验证闭环</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数据集数量</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13</w:t>
            </w:r>
          </w:p>
        </w:tc>
        <w:tc>
          <w:tcPr>
            <w:tcW w:type="dxa" w:w="2026"/>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10 + scRNA-seq</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ML模型数</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2种</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4种</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4种</w:t>
            </w:r>
          </w:p>
        </w:tc>
        <w:tc>
          <w:tcPr>
            <w:tcW w:type="dxa" w:w="2026"/>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113种 + SHAP</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虚拟基因敲除</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2026"/>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scTenifoldKnk ★</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分子对接+MD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2026"/>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Vina + GROMACS 50ns ★</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基因调控网络</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2026"/>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GRNBoost2 ★</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MMPBSA自由能</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2026"/>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MM-GBSA ★</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群体验证(61M)</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2026"/>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CELLxGENE Census ★</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湿实验验证</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无</w:t>
            </w:r>
          </w:p>
        </w:tc>
        <w:tc>
          <w:tcPr>
            <w:tcW w:type="dxa" w:w="2026"/>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巨噬细胞 GBP1 ★</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icrosoft YaHei" w:cs="Microsoft YaHei" w:eastAsia="Microsoft YaHei" w:hAnsi="Microsoft YaHei"/>
                <w:b/>
                <w:bCs/>
                <w:sz w:val="19"/>
                <w:szCs w:val="19"/>
              </w:rPr>
              <w:t xml:space="preserve">可复现性</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未提供代码</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未提供代码</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Microsoft YaHei" w:cs="Microsoft YaHei" w:eastAsia="Microsoft YaHei" w:hAnsi="Microsoft YaHei"/>
                <w:b w:val="false"/>
                <w:bCs w:val="false"/>
                <w:sz w:val="19"/>
                <w:szCs w:val="19"/>
              </w:rPr>
              <w:t xml:space="preserve">未提供代码</w:t>
            </w:r>
          </w:p>
        </w:tc>
        <w:tc>
          <w:tcPr>
            <w:tcW w:type="dxa" w:w="2026"/>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jc w:val="center"/>
            </w:pPr>
            <w:r>
              <w:rPr>
                <w:rFonts w:ascii="Microsoft YaHei" w:cs="Microsoft YaHei" w:eastAsia="Microsoft YaHei" w:hAnsi="Microsoft YaHei"/>
                <w:b/>
                <w:bCs/>
                <w:sz w:val="19"/>
                <w:szCs w:val="19"/>
              </w:rPr>
              <w:t xml:space="preserve">GitHub + 完整脚本</w:t>
            </w:r>
          </w:p>
        </w:tc>
      </w:tr>
    </w:tbl>
    <w:p>
      <w:pPr>
        <w:spacing w:before="200"/>
      </w:pPr>
      <w:r>
        <w:rPr>
          <w:rFonts w:ascii="Microsoft YaHei" w:cs="Microsoft YaHei" w:eastAsia="Microsoft YaHei" w:hAnsi="Microsoft YaHei"/>
          <w:b/>
          <w:bCs/>
          <w:color w:val="E74C3C"/>
          <w:sz w:val="20"/>
          <w:szCs w:val="20"/>
        </w:rPr>
        <w:t xml:space="preserve">★ = 本研究独有。核心竞争力不是任何一个单项，而是"12模块计算框架→GBP1靶点预测→巨噬细胞湿实验验证"的完整闭环。这一模式可推广至任何感染性疾病的转录组数据分析。</w:t>
      </w:r>
    </w:p>
    <w:p>
      <w:pPr>
        <w:pStyle w:val="Heading1"/>
      </w:pPr>
      <w:r>
        <w:t xml:space="preserve">七、立即行动项</w:t>
      </w:r>
    </w:p>
    <w:p>
      <w:pPr>
        <w:pStyle w:val="ListParagraph"/>
        <w:numPr>
          <w:ilvl w:val="0"/>
          <w:numId w:val="3"/>
        </w:numPr>
        <w:spacing w:after="80"/>
      </w:pPr>
      <w:r>
        <w:rPr>
          <w:rFonts w:ascii="Microsoft YaHei" w:cs="Microsoft YaHei" w:eastAsia="Microsoft YaHei" w:hAnsi="Microsoft YaHei"/>
          <w:sz w:val="21"/>
          <w:szCs w:val="21"/>
        </w:rPr>
        <w:t xml:space="preserve">确认通讯作者邮箱和全部作者排序</w:t>
      </w:r>
    </w:p>
    <w:p>
      <w:pPr>
        <w:pStyle w:val="ListParagraph"/>
        <w:numPr>
          <w:ilvl w:val="0"/>
          <w:numId w:val="3"/>
        </w:numPr>
        <w:spacing w:after="80"/>
      </w:pPr>
      <w:r>
        <w:rPr>
          <w:rFonts w:ascii="Microsoft YaHei" w:cs="Microsoft YaHei" w:eastAsia="Microsoft YaHei" w:hAnsi="Microsoft YaHei"/>
          <w:sz w:val="21"/>
          <w:szCs w:val="21"/>
        </w:rPr>
        <w:t xml:space="preserve">设计 Fig 1 十二模块框架总览图（可用 draw.io / BioRender）</w:t>
      </w:r>
    </w:p>
    <w:p>
      <w:pPr>
        <w:pStyle w:val="ListParagraph"/>
        <w:numPr>
          <w:ilvl w:val="0"/>
          <w:numId w:val="3"/>
        </w:numPr>
        <w:spacing w:after="80"/>
      </w:pPr>
      <w:r>
        <w:rPr>
          <w:rFonts w:ascii="Microsoft YaHei" w:cs="Microsoft YaHei" w:eastAsia="Microsoft YaHei" w:hAnsi="Microsoft YaHei"/>
          <w:sz w:val="21"/>
          <w:szCs w:val="21"/>
        </w:rPr>
        <w:t xml:space="preserve">撰写 Methods 部分 M1-M8 初稿（数据齐备，最简单）</w:t>
      </w:r>
    </w:p>
    <w:p>
      <w:pPr>
        <w:pStyle w:val="ListParagraph"/>
        <w:numPr>
          <w:ilvl w:val="0"/>
          <w:numId w:val="3"/>
        </w:numPr>
        <w:spacing w:after="80"/>
      </w:pPr>
      <w:r>
        <w:rPr>
          <w:rFonts w:ascii="Microsoft YaHei" w:cs="Microsoft YaHei" w:eastAsia="Microsoft YaHei" w:hAnsi="Microsoft YaHei"/>
          <w:sz w:val="21"/>
          <w:szCs w:val="21"/>
        </w:rPr>
        <w:t xml:space="preserve">整理对标文献 BibTeX 条目（Wang 2024, Shan 2024, Li 2023, Brouard 2024 等 15+ 篇）</w:t>
      </w:r>
    </w:p>
    <w:p>
      <w:pPr>
        <w:pStyle w:val="ListParagraph"/>
        <w:numPr>
          <w:ilvl w:val="0"/>
          <w:numId w:val="3"/>
        </w:numPr>
        <w:spacing w:after="80"/>
      </w:pPr>
      <w:r>
        <w:rPr>
          <w:rFonts w:ascii="Microsoft YaHei" w:cs="Microsoft YaHei" w:eastAsia="Microsoft YaHei" w:hAnsi="Microsoft YaHei"/>
          <w:sz w:val="21"/>
          <w:szCs w:val="21"/>
        </w:rPr>
        <w:t xml:space="preserve">启动 M7 续跑到 100ns（服务器后台，32h，不停机）</w:t>
      </w:r>
    </w:p>
    <w:p>
      <w:pPr>
        <w:pStyle w:val="ListParagraph"/>
        <w:numPr>
          <w:ilvl w:val="0"/>
          <w:numId w:val="3"/>
        </w:numPr>
        <w:spacing w:after="80"/>
      </w:pPr>
      <w:r>
        <w:rPr>
          <w:rFonts w:ascii="Microsoft YaHei" w:cs="Microsoft YaHei" w:eastAsia="Microsoft YaHei" w:hAnsi="Microsoft YaHei"/>
          <w:sz w:val="21"/>
          <w:szCs w:val="21"/>
        </w:rPr>
        <w:t xml:space="preserve">本机 VPN 跑通 M12 Census（约 20 分钟）</w:t>
      </w:r>
    </w:p>
    <w:p>
      <w:pPr>
        <w:pStyle w:val="ListParagraph"/>
        <w:numPr>
          <w:ilvl w:val="0"/>
          <w:numId w:val="3"/>
        </w:numPr>
        <w:spacing w:after="80"/>
      </w:pPr>
      <w:r>
        <w:rPr>
          <w:rFonts w:ascii="Microsoft YaHei" w:cs="Microsoft YaHei" w:eastAsia="Microsoft YaHei" w:hAnsi="Microsoft YaHei"/>
          <w:sz w:val="21"/>
          <w:szCs w:val="21"/>
        </w:rPr>
        <w:t xml:space="preserve">起草 Briefings in Bioinformatics 的 Cover Letter 模板</w:t>
      </w:r>
    </w:p>
    <w:p>
      <w:pPr>
        <w:pStyle w:val="Heading1"/>
      </w:pPr>
      <w:r>
        <w:t xml:space="preserve">八、数据和代码清单</w:t>
      </w:r>
    </w:p>
    <w:p>
      <w:pPr>
        <w:pStyle w:val="ListParagraph"/>
        <w:numPr>
          <w:ilvl w:val="0"/>
          <w:numId w:val="2"/>
        </w:numPr>
        <w:spacing w:after="80"/>
      </w:pPr>
      <w:r>
        <w:rPr>
          <w:rFonts w:ascii="Microsoft YaHei" w:cs="Microsoft YaHei" w:eastAsia="Microsoft YaHei" w:hAnsi="Microsoft YaHei"/>
          <w:sz w:val="21"/>
          <w:szCs w:val="21"/>
        </w:rPr>
        <w:t xml:space="preserve">GEO 数据集(10): GSE37250/39940/42834/83456/39939/74092/42825/19491/19439/19444</w:t>
      </w:r>
    </w:p>
    <w:p>
      <w:pPr>
        <w:pStyle w:val="ListParagraph"/>
        <w:numPr>
          <w:ilvl w:val="0"/>
          <w:numId w:val="2"/>
        </w:numPr>
        <w:spacing w:after="80"/>
      </w:pPr>
      <w:r>
        <w:rPr>
          <w:rFonts w:ascii="Microsoft YaHei" w:cs="Microsoft YaHei" w:eastAsia="Microsoft YaHei" w:hAnsi="Microsoft YaHei"/>
          <w:sz w:val="21"/>
          <w:szCs w:val="21"/>
        </w:rPr>
        <w:t xml:space="preserve">scRNA-seq: GSE184198 (TB PBMC), GSE158769 (BayesPrism参考图谱)</w:t>
      </w:r>
    </w:p>
    <w:p>
      <w:pPr>
        <w:pStyle w:val="ListParagraph"/>
        <w:numPr>
          <w:ilvl w:val="0"/>
          <w:numId w:val="2"/>
        </w:numPr>
        <w:spacing w:after="80"/>
      </w:pPr>
      <w:r>
        <w:rPr>
          <w:rFonts w:ascii="Microsoft YaHei" w:cs="Microsoft YaHei" w:eastAsia="Microsoft YaHei" w:hAnsi="Microsoft YaHei"/>
          <w:sz w:val="21"/>
          <w:szCs w:val="21"/>
        </w:rPr>
        <w:t xml:space="preserve">M6 分子对接结果: D:\s11\M6_output\</w:t>
      </w:r>
    </w:p>
    <w:p>
      <w:pPr>
        <w:pStyle w:val="ListParagraph"/>
        <w:numPr>
          <w:ilvl w:val="0"/>
          <w:numId w:val="2"/>
        </w:numPr>
        <w:spacing w:after="80"/>
      </w:pPr>
      <w:r>
        <w:rPr>
          <w:rFonts w:ascii="Microsoft YaHei" w:cs="Microsoft YaHei" w:eastAsia="Microsoft YaHei" w:hAnsi="Microsoft YaHei"/>
          <w:sz w:val="21"/>
          <w:szCs w:val="21"/>
        </w:rPr>
        <w:t xml:space="preserve">M7 MD轨迹+质控: D:\s11\M7_output\ (prod.xtc ~70GB, QC PDFs)</w:t>
      </w:r>
    </w:p>
    <w:p>
      <w:pPr>
        <w:pStyle w:val="ListParagraph"/>
        <w:numPr>
          <w:ilvl w:val="0"/>
          <w:numId w:val="2"/>
        </w:numPr>
        <w:spacing w:after="80"/>
      </w:pPr>
      <w:r>
        <w:rPr>
          <w:rFonts w:ascii="Microsoft YaHei" w:cs="Microsoft YaHei" w:eastAsia="Microsoft YaHei" w:hAnsi="Microsoft YaHei"/>
          <w:sz w:val="21"/>
          <w:szCs w:val="21"/>
        </w:rPr>
        <w:t xml:space="preserve">M8 MMPBSA: D:\s11\M8_output\ (energy CSV, 能量分解图PDF)</w:t>
      </w:r>
    </w:p>
    <w:p>
      <w:pPr>
        <w:pStyle w:val="ListParagraph"/>
        <w:numPr>
          <w:ilvl w:val="0"/>
          <w:numId w:val="2"/>
        </w:numPr>
        <w:spacing w:after="80"/>
      </w:pPr>
      <w:r>
        <w:rPr>
          <w:rFonts w:ascii="Microsoft YaHei" w:cs="Microsoft YaHei" w:eastAsia="Microsoft YaHei" w:hAnsi="Microsoft YaHei"/>
          <w:sz w:val="21"/>
          <w:szCs w:val="21"/>
        </w:rPr>
        <w:t xml:space="preserve">M9 虚拟敲除: D:\s11\M11_knockout\ (sigDiff 5001行, volcano/barplot PDF)</w:t>
      </w:r>
    </w:p>
    <w:p>
      <w:pPr>
        <w:pStyle w:val="ListParagraph"/>
        <w:numPr>
          <w:ilvl w:val="0"/>
          <w:numId w:val="2"/>
        </w:numPr>
        <w:spacing w:after="80"/>
      </w:pPr>
      <w:r>
        <w:rPr>
          <w:rFonts w:ascii="Microsoft YaHei" w:cs="Microsoft YaHei" w:eastAsia="Microsoft YaHei" w:hAnsi="Microsoft YaHei"/>
          <w:sz w:val="21"/>
          <w:szCs w:val="21"/>
        </w:rPr>
        <w:t xml:space="preserve">M10 GRN: LTBI_aliyun_results\M10_GRN_network.txt (9622边), M10_output\ (3张PDF)</w:t>
      </w:r>
    </w:p>
    <w:p>
      <w:pPr>
        <w:pStyle w:val="ListParagraph"/>
        <w:numPr>
          <w:ilvl w:val="0"/>
          <w:numId w:val="2"/>
        </w:numPr>
        <w:spacing w:after="80"/>
      </w:pPr>
      <w:r>
        <w:rPr>
          <w:rFonts w:ascii="Microsoft YaHei" w:cs="Microsoft YaHei" w:eastAsia="Microsoft YaHei" w:hAnsi="Microsoft YaHei"/>
          <w:sz w:val="21"/>
          <w:szCs w:val="21"/>
        </w:rPr>
        <w:t xml:space="preserve">M11 BayesPrism: D:\s11\M11_output\ (179样本×29细胞类型, heatmap PDF)</w:t>
      </w:r>
    </w:p>
    <w:p>
      <w:pPr>
        <w:pStyle w:val="ListParagraph"/>
        <w:numPr>
          <w:ilvl w:val="0"/>
          <w:numId w:val="2"/>
        </w:numPr>
        <w:spacing w:after="80"/>
      </w:pPr>
      <w:r>
        <w:rPr>
          <w:rFonts w:ascii="Microsoft YaHei" w:cs="Microsoft YaHei" w:eastAsia="Microsoft YaHei" w:hAnsi="Microsoft YaHei"/>
          <w:sz w:val="21"/>
          <w:szCs w:val="21"/>
        </w:rPr>
        <w:t xml:space="preserve">叶国敏 2023 论文全文: C:\Users\1\Desktop\Revised TB.docx</w:t>
      </w:r>
    </w:p>
    <w:p>
      <w:pPr>
        <w:pStyle w:val="ListParagraph"/>
        <w:numPr>
          <w:ilvl w:val="0"/>
          <w:numId w:val="2"/>
        </w:numPr>
        <w:spacing w:after="80"/>
      </w:pPr>
      <w:r>
        <w:rPr>
          <w:rFonts w:ascii="Microsoft YaHei" w:cs="Microsoft YaHei" w:eastAsia="Microsoft YaHei" w:hAnsi="Microsoft YaHei"/>
          <w:sz w:val="21"/>
          <w:szCs w:val="21"/>
        </w:rPr>
        <w:t xml:space="preserve">写作计划书: C:\Users\1\Desktop\LTBI_HC_merge\LTBI_HC_论文写作计划.docx</w:t>
      </w:r>
    </w:p>
    <w:p>
      <w:pPr>
        <w:pStyle w:val="ListParagraph"/>
        <w:numPr>
          <w:ilvl w:val="0"/>
          <w:numId w:val="2"/>
        </w:numPr>
        <w:spacing w:after="80"/>
      </w:pPr>
      <w:r>
        <w:rPr>
          <w:rFonts w:ascii="Microsoft YaHei" w:cs="Microsoft YaHei" w:eastAsia="Microsoft YaHei" w:hAnsi="Microsoft YaHei"/>
          <w:sz w:val="21"/>
          <w:szCs w:val="21"/>
        </w:rPr>
        <w:t xml:space="preserve">代码仓库: https://github.com/Gouyuxuan-666 (待整理)</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sz w:val="16"/>
        <w:szCs w:val="16"/>
      </w:rPr>
      <w:t xml:space="preserve">第 </w:t>
    </w:r>
    <w:r>
      <w:rPr>
        <w:rFonts w:ascii="Microsoft YaHei" w:cs="Microsoft YaHei" w:eastAsia="Microsoft YaHei" w:hAnsi="Microsoft YaHei"/>
        <w:sz w:val="16"/>
        <w:szCs w:val="16"/>
      </w:rPr>
      <w:fldChar w:fldCharType="begin"/>
      <w:instrText xml:space="preserve">PAGE</w:instrText>
      <w:fldChar w:fldCharType="separate"/>
      <w:fldChar w:fldCharType="end"/>
    </w:r>
    <w:r>
      <w:rPr>
        <w:rFonts w:ascii="Microsoft YaHei" w:cs="Microsoft YaHei" w:eastAsia="Microsoft YaHei" w:hAnsi="Microsoft YaHei"/>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i/>
        <w:iCs/>
        <w:color w:val="95A5A6"/>
        <w:sz w:val="16"/>
        <w:szCs w:val="16"/>
      </w:rPr>
      <w:t xml:space="preserve">LTBI-HC GBP1 框架论文 · 写作计划书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YaHei" w:cs="Microsoft YaHei" w:eastAsia="Microsoft YaHei" w:hAnsi="Microsoft YaHei"/>
      <w:b/>
      <w:bCs/>
      <w:color w:val="1B4F72"/>
      <w:sz w:val="32"/>
      <w:szCs w:val="32"/>
    </w:rPr>
  </w:style>
  <w:style w:type="paragraph" w:styleId="Heading2">
    <w:name w:val="Heading 2"/>
    <w:basedOn w:val="Normal"/>
    <w:next w:val="Normal"/>
    <w:qFormat/>
    <w:pPr>
      <w:spacing w:after="160" w:before="240"/>
      <w:outlineLvl w:val="1"/>
    </w:pPr>
    <w:rPr>
      <w:rFonts w:ascii="Microsoft YaHei" w:cs="Microsoft YaHei" w:eastAsia="Microsoft YaHei" w:hAnsi="Microsoft YaHei"/>
      <w:b/>
      <w:bCs/>
      <w:color w:val="2C3E50"/>
      <w:sz w:val="26"/>
      <w:szCs w:val="26"/>
    </w:rPr>
  </w:style>
  <w:style w:type="paragraph" w:styleId="Heading3">
    <w:name w:val="Heading 3"/>
    <w:basedOn w:val="Normal"/>
    <w:next w:val="Normal"/>
    <w:qFormat/>
    <w:pPr>
      <w:spacing w:after="120" w:before="180"/>
      <w:outlineLvl w:val="2"/>
    </w:pPr>
    <w:rPr>
      <w:rFonts w:ascii="Microsoft YaHei" w:cs="Microsoft YaHei" w:eastAsia="Microsoft YaHei" w:hAnsi="Microsoft YaHei"/>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2026-07-07T04:25:44.706Z</dcterms:created>
  <dcterms:modified xsi:type="dcterms:W3CDTF">2026-07-07T04:25:44.706Z</dcterms:modified>
</cp:coreProperties>
</file>

<file path=docProps/custom.xml><?xml version="1.0" encoding="utf-8"?>
<Properties xmlns="http://schemas.openxmlformats.org/officeDocument/2006/custom-properties" xmlns:vt="http://schemas.openxmlformats.org/officeDocument/2006/docPropsVTypes"/>
</file>