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432B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432B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EB0FA5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432B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432BE" w:rsidRPr="00D54FC9" w:rsidRDefault="007432B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AC-11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432BE" w:rsidRPr="00D54FC9" w:rsidRDefault="007432B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SESSION LOCK</w:t>
            </w:r>
          </w:p>
        </w:tc>
      </w:tr>
      <w:tr w:rsidR="007432BE" w:rsidRPr="00D54FC9" w:rsidTr="00F351C8">
        <w:trPr>
          <w:cantSplit/>
        </w:trPr>
        <w:tc>
          <w:tcPr>
            <w:tcW w:w="1166" w:type="dxa"/>
          </w:tcPr>
          <w:p w:rsidR="00EB0FA5" w:rsidRDefault="00EB0FA5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432BE" w:rsidRDefault="007432BE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</w:p>
          <w:p w:rsidR="007432BE" w:rsidRDefault="007432BE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432BE" w:rsidRDefault="007432BE" w:rsidP="007432BE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432BE" w:rsidRDefault="007432BE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432BE" w:rsidRDefault="007432BE" w:rsidP="007432BE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432BE" w:rsidRPr="00D54FC9" w:rsidRDefault="007432BE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7432BE" w:rsidRPr="00896A3D" w:rsidRDefault="007432B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96A3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432BE" w:rsidRPr="00896A3D" w:rsidRDefault="007432B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96A3D">
              <w:rPr>
                <w:i/>
                <w:sz w:val="20"/>
                <w:szCs w:val="20"/>
              </w:rPr>
              <w:t xml:space="preserve"> Determine if:</w:t>
            </w:r>
          </w:p>
          <w:p w:rsidR="007432BE" w:rsidRPr="00896A3D" w:rsidRDefault="007432BE" w:rsidP="007432B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896A3D">
              <w:rPr>
                <w:i/>
                <w:iCs/>
                <w:sz w:val="20"/>
                <w:szCs w:val="20"/>
              </w:rPr>
              <w:t>the organization defines</w:t>
            </w:r>
            <w:r w:rsidRPr="00896A3D">
              <w:rPr>
                <w:i/>
                <w:sz w:val="20"/>
                <w:szCs w:val="20"/>
              </w:rPr>
              <w:t xml:space="preserve"> </w:t>
            </w:r>
            <w:r w:rsidRPr="00896A3D">
              <w:rPr>
                <w:i/>
                <w:iCs/>
                <w:sz w:val="20"/>
                <w:szCs w:val="20"/>
              </w:rPr>
              <w:t>the time period of user inactivity after which the information system initiates a session lock;</w:t>
            </w:r>
          </w:p>
          <w:p w:rsidR="007432BE" w:rsidRPr="00896A3D" w:rsidRDefault="007432BE" w:rsidP="007432B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896A3D">
              <w:rPr>
                <w:i/>
                <w:iCs/>
                <w:sz w:val="20"/>
                <w:szCs w:val="20"/>
              </w:rPr>
              <w:t>the information system initiates a session lock after the organization-defined time period of inactivity</w:t>
            </w:r>
            <w:r>
              <w:rPr>
                <w:i/>
                <w:iCs/>
                <w:sz w:val="20"/>
                <w:szCs w:val="20"/>
              </w:rPr>
              <w:t xml:space="preserve"> or upon receiving a request from a user</w:t>
            </w:r>
            <w:r w:rsidRPr="00896A3D">
              <w:rPr>
                <w:i/>
                <w:iCs/>
                <w:sz w:val="20"/>
                <w:szCs w:val="20"/>
              </w:rPr>
              <w:t>;</w:t>
            </w:r>
          </w:p>
          <w:p w:rsidR="007432BE" w:rsidRPr="00896A3D" w:rsidRDefault="007432BE" w:rsidP="007432B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896A3D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896A3D">
              <w:rPr>
                <w:i/>
                <w:iCs/>
                <w:sz w:val="20"/>
                <w:szCs w:val="20"/>
              </w:rPr>
              <w:t xml:space="preserve"> information system </w:t>
            </w:r>
            <w:r>
              <w:rPr>
                <w:i/>
                <w:iCs/>
                <w:sz w:val="20"/>
                <w:szCs w:val="20"/>
              </w:rPr>
              <w:t>retains</w:t>
            </w:r>
            <w:r w:rsidRPr="00896A3D">
              <w:rPr>
                <w:i/>
                <w:iCs/>
                <w:sz w:val="20"/>
                <w:szCs w:val="20"/>
              </w:rPr>
              <w:t xml:space="preserve"> the session lock until the user reestablishes access using </w:t>
            </w:r>
            <w:r>
              <w:rPr>
                <w:i/>
                <w:iCs/>
                <w:sz w:val="20"/>
                <w:szCs w:val="20"/>
              </w:rPr>
              <w:t>established</w:t>
            </w:r>
            <w:r w:rsidRPr="00896A3D">
              <w:rPr>
                <w:i/>
                <w:iCs/>
                <w:sz w:val="20"/>
                <w:szCs w:val="20"/>
              </w:rPr>
              <w:t xml:space="preserve"> identification and authentication procedures.</w:t>
            </w:r>
          </w:p>
          <w:p w:rsidR="007432BE" w:rsidRPr="005B2EBF" w:rsidRDefault="007432B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B2EB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432BE" w:rsidRPr="005B2EBF" w:rsidRDefault="007432BE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B2EB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B2EB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2EB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2EB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B2EBF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session lock; information system design documentation; information system configuration settings and associated documentation; security plan; other relevant documents or records].</w:t>
            </w:r>
          </w:p>
          <w:p w:rsidR="007432BE" w:rsidRPr="00D54FC9" w:rsidRDefault="007432BE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/>
                <w:iCs/>
                <w:sz w:val="16"/>
                <w:szCs w:val="16"/>
                <w:highlight w:val="yellow"/>
              </w:rPr>
            </w:pPr>
            <w:r w:rsidRPr="005B2EB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B2EB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2EB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2EB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session lock].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626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B40E44">
            <w:pPr>
              <w:tabs>
                <w:tab w:val="center" w:pos="3447"/>
              </w:tabs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A26D2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CM-6, </w:t>
            </w:r>
            <w:r w:rsidR="0086263F">
              <w:rPr>
                <w:rFonts w:ascii="Arial" w:hAnsi="Arial" w:cs="Arial"/>
                <w:iCs/>
                <w:smallCaps/>
                <w:sz w:val="16"/>
                <w:szCs w:val="16"/>
              </w:rPr>
              <w:t>IA-2, IA-8</w:t>
            </w:r>
          </w:p>
          <w:p w:rsidR="00C70011" w:rsidRPr="005073C2" w:rsidRDefault="00C70011" w:rsidP="0086263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626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158D5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93428" w:rsidRPr="005073C2" w:rsidTr="00F351C8">
        <w:trPr>
          <w:cantSplit/>
        </w:trPr>
        <w:tc>
          <w:tcPr>
            <w:tcW w:w="1530" w:type="dxa"/>
            <w:gridSpan w:val="2"/>
          </w:tcPr>
          <w:p w:rsidR="00493428" w:rsidRPr="005073C2" w:rsidRDefault="0049342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93428" w:rsidRDefault="00493428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93428" w:rsidRDefault="00493428" w:rsidP="0049342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93428" w:rsidRPr="005C5B9C" w:rsidRDefault="00493428" w:rsidP="0049342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93428" w:rsidRPr="005C5B9C" w:rsidRDefault="00493428" w:rsidP="0049342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815467" w:rsidRDefault="00815467" w:rsidP="0081546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815467" w:rsidP="00815467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session lock,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time period of user inactivity after which the information system initiates a session lock. </w:t>
            </w:r>
          </w:p>
        </w:tc>
      </w:tr>
      <w:tr w:rsidR="00493428" w:rsidRPr="005073C2" w:rsidTr="00493428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493428" w:rsidRDefault="00493428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93428" w:rsidRPr="008D7BED" w:rsidRDefault="00493428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15467" w:rsidRPr="005073C2" w:rsidTr="00F351C8">
        <w:trPr>
          <w:cantSplit/>
        </w:trPr>
        <w:tc>
          <w:tcPr>
            <w:tcW w:w="1530" w:type="dxa"/>
            <w:gridSpan w:val="2"/>
          </w:tcPr>
          <w:p w:rsidR="00815467" w:rsidRDefault="00815467" w:rsidP="0081546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815467" w:rsidRPr="002F5405" w:rsidRDefault="00815467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15467" w:rsidRPr="005073C2" w:rsidRDefault="00815467" w:rsidP="0039158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391588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34614C">
              <w:rPr>
                <w:rFonts w:cs="Arial"/>
                <w:iCs/>
                <w:sz w:val="18"/>
                <w:szCs w:val="18"/>
              </w:rPr>
              <w:t xml:space="preserve">information system </w:t>
            </w:r>
            <w:r>
              <w:rPr>
                <w:rFonts w:cs="Arial"/>
                <w:iCs/>
                <w:sz w:val="18"/>
                <w:szCs w:val="18"/>
              </w:rPr>
              <w:t>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initiate a session lock after the time period of inactivity identified in AC-11.1.1.1</w:t>
            </w:r>
            <w:r w:rsidR="00792EC2">
              <w:rPr>
                <w:iCs/>
                <w:sz w:val="18"/>
                <w:szCs w:val="18"/>
              </w:rPr>
              <w:t>,</w:t>
            </w:r>
            <w:r w:rsidR="00391588">
              <w:rPr>
                <w:iCs/>
                <w:sz w:val="18"/>
                <w:szCs w:val="18"/>
              </w:rPr>
              <w:t xml:space="preserve"> or upon </w:t>
            </w:r>
            <w:r w:rsidR="00CF0A1E">
              <w:rPr>
                <w:iCs/>
                <w:sz w:val="18"/>
                <w:szCs w:val="18"/>
              </w:rPr>
              <w:t xml:space="preserve">receiving </w:t>
            </w:r>
            <w:r w:rsidR="00391588">
              <w:rPr>
                <w:iCs/>
                <w:sz w:val="18"/>
                <w:szCs w:val="18"/>
              </w:rPr>
              <w:t>a request from a user</w:t>
            </w:r>
            <w:r>
              <w:rPr>
                <w:iCs/>
                <w:sz w:val="18"/>
                <w:szCs w:val="18"/>
              </w:rPr>
              <w:t xml:space="preserve">.  </w:t>
            </w:r>
          </w:p>
        </w:tc>
      </w:tr>
      <w:tr w:rsidR="00815467" w:rsidRPr="005073C2" w:rsidTr="00F351C8">
        <w:trPr>
          <w:cantSplit/>
        </w:trPr>
        <w:tc>
          <w:tcPr>
            <w:tcW w:w="1530" w:type="dxa"/>
            <w:gridSpan w:val="2"/>
          </w:tcPr>
          <w:p w:rsidR="00815467" w:rsidRDefault="00815467" w:rsidP="0081546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815467" w:rsidRPr="002F5405" w:rsidRDefault="0081546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15467" w:rsidRPr="00846589" w:rsidRDefault="00815467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391588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AC-11.1.2.1;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AC-11.1.2.1.</w:t>
            </w:r>
          </w:p>
        </w:tc>
      </w:tr>
      <w:tr w:rsidR="0081546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15467" w:rsidRDefault="00815467" w:rsidP="0081546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815467" w:rsidRPr="002F5405" w:rsidRDefault="00815467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15467" w:rsidRPr="005073C2" w:rsidRDefault="00815467" w:rsidP="0034614C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AC-11.1.2.1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34614C"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493428" w:rsidRPr="005073C2" w:rsidTr="0049342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93428" w:rsidRDefault="00493428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93428" w:rsidRPr="008D7BED" w:rsidRDefault="00493428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158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91588" w:rsidRPr="00D54FC9" w:rsidRDefault="00391588" w:rsidP="0081546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AC-11.1.3.1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1588" w:rsidRPr="00391588" w:rsidRDefault="00391588" w:rsidP="00E3184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identification and authentication procedures;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034225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procedures established for users to reestablish access to the information system </w:t>
            </w:r>
            <w:r w:rsidR="00E31845">
              <w:rPr>
                <w:iCs/>
                <w:sz w:val="18"/>
                <w:szCs w:val="18"/>
              </w:rPr>
              <w:t xml:space="preserve">when </w:t>
            </w:r>
            <w:r>
              <w:rPr>
                <w:iCs/>
                <w:sz w:val="18"/>
                <w:szCs w:val="18"/>
              </w:rPr>
              <w:t xml:space="preserve">the information system initiates </w:t>
            </w:r>
            <w:r w:rsidR="00E31845">
              <w:rPr>
                <w:iCs/>
                <w:sz w:val="18"/>
                <w:szCs w:val="18"/>
              </w:rPr>
              <w:t xml:space="preserve">a session lock </w:t>
            </w:r>
            <w:r>
              <w:rPr>
                <w:iCs/>
                <w:sz w:val="18"/>
                <w:szCs w:val="18"/>
              </w:rPr>
              <w:t xml:space="preserve">after the time period </w:t>
            </w:r>
            <w:r w:rsidR="00E31845">
              <w:rPr>
                <w:iCs/>
                <w:sz w:val="18"/>
                <w:szCs w:val="18"/>
              </w:rPr>
              <w:t>of inactivity i</w:t>
            </w:r>
            <w:r>
              <w:rPr>
                <w:iCs/>
                <w:sz w:val="18"/>
                <w:szCs w:val="18"/>
              </w:rPr>
              <w:t>dentified in AC-11.1.1.1</w:t>
            </w:r>
            <w:r w:rsidR="00E31845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or upon receiving a request from a user.</w:t>
            </w:r>
          </w:p>
        </w:tc>
      </w:tr>
      <w:tr w:rsidR="00815467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15467" w:rsidRDefault="00815467" w:rsidP="0081546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391588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815467" w:rsidRPr="002F5405" w:rsidRDefault="0081546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15467" w:rsidRPr="005073C2" w:rsidRDefault="00815467" w:rsidP="008D6BC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8D6BCC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8D6BCC">
              <w:rPr>
                <w:rFonts w:cs="Arial"/>
                <w:iCs/>
                <w:sz w:val="18"/>
                <w:szCs w:val="18"/>
              </w:rPr>
              <w:t xml:space="preserve">information system </w:t>
            </w:r>
            <w:r>
              <w:rPr>
                <w:rFonts w:cs="Arial"/>
                <w:iCs/>
                <w:sz w:val="18"/>
                <w:szCs w:val="18"/>
              </w:rPr>
              <w:t>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retain the session lock until the user reestablishes access using </w:t>
            </w:r>
            <w:r w:rsidR="00946C1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established identification and authentication procedures</w:t>
            </w:r>
            <w:r w:rsidR="00946C12">
              <w:rPr>
                <w:iCs/>
                <w:sz w:val="18"/>
                <w:szCs w:val="18"/>
              </w:rPr>
              <w:t xml:space="preserve"> identified in AC-11.1.3.1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815467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15467" w:rsidRDefault="00815467" w:rsidP="0081546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391588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815467" w:rsidRPr="002F5405" w:rsidRDefault="0081546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15467" w:rsidRPr="00846589" w:rsidRDefault="00815467" w:rsidP="008D6BC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8D6BCC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AC-11.1.3.</w:t>
            </w:r>
            <w:r w:rsidR="008D6BCC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AC-11.1.3.</w:t>
            </w:r>
            <w:r w:rsidR="008D6BCC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1546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15467" w:rsidRDefault="00815467" w:rsidP="0081546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391588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  <w:p w:rsidR="00815467" w:rsidRPr="002F5405" w:rsidRDefault="0081546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15467" w:rsidRPr="005073C2" w:rsidRDefault="00815467" w:rsidP="008D6BCC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AC-11.1.3.</w:t>
            </w:r>
            <w:r w:rsidR="008D6BCC">
              <w:rPr>
                <w:iCs/>
                <w:sz w:val="18"/>
                <w:szCs w:val="18"/>
              </w:rPr>
              <w:t>2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34614C"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49342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B0FA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432BE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7432BE" w:rsidRPr="00D54FC9" w:rsidRDefault="007432BE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AC-11(1)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432BE" w:rsidRPr="00D54FC9" w:rsidRDefault="007432B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SESSION LOCK</w:t>
            </w:r>
          </w:p>
        </w:tc>
      </w:tr>
      <w:tr w:rsidR="007432BE" w:rsidRPr="005073C2" w:rsidTr="00493428">
        <w:trPr>
          <w:cantSplit/>
          <w:trHeight w:val="2582"/>
        </w:trPr>
        <w:tc>
          <w:tcPr>
            <w:tcW w:w="1530" w:type="dxa"/>
            <w:gridSpan w:val="2"/>
          </w:tcPr>
          <w:p w:rsidR="00EB0FA5" w:rsidRDefault="00BF00BF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AC-11(1).1</w:t>
            </w:r>
          </w:p>
          <w:p w:rsidR="007432BE" w:rsidRDefault="007432BE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AC-11(1)</w:t>
            </w:r>
            <w:r w:rsidR="00BF00BF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  <w:p w:rsidR="00DA740B" w:rsidRPr="00D54FC9" w:rsidRDefault="00DA740B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7432BE" w:rsidRPr="004A012A" w:rsidRDefault="007432B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A012A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432BE" w:rsidRPr="004A012A" w:rsidRDefault="007432B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A012A">
              <w:rPr>
                <w:bCs/>
                <w:i/>
                <w:iCs/>
                <w:sz w:val="20"/>
              </w:rPr>
              <w:t>Determine</w:t>
            </w:r>
            <w:r w:rsidRPr="004A012A">
              <w:rPr>
                <w:i/>
                <w:iCs/>
                <w:sz w:val="20"/>
              </w:rPr>
              <w:t xml:space="preserve"> if the information system</w:t>
            </w:r>
            <w:r>
              <w:rPr>
                <w:i/>
                <w:iCs/>
                <w:sz w:val="20"/>
              </w:rPr>
              <w:t xml:space="preserve"> session lock mechanism, when activated on a device with a display screen, places a publicly viewable pattern onto the associated display, hiding what was previously visible on the screen</w:t>
            </w:r>
            <w:r w:rsidRPr="004A012A">
              <w:rPr>
                <w:i/>
                <w:iCs/>
                <w:sz w:val="20"/>
              </w:rPr>
              <w:t>.</w:t>
            </w:r>
          </w:p>
          <w:p w:rsidR="007432BE" w:rsidRPr="00AE0BFD" w:rsidRDefault="007432B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E0BF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432BE" w:rsidRPr="00AE0BFD" w:rsidRDefault="007432BE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E0BF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E0BF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E0BF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BF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E0BFD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AE0BFD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AE0BFD">
              <w:rPr>
                <w:rFonts w:ascii="Arial" w:hAnsi="Arial" w:cs="Arial"/>
                <w:iCs/>
                <w:sz w:val="16"/>
                <w:szCs w:val="16"/>
              </w:rPr>
              <w:t xml:space="preserve">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session lock</w:t>
            </w:r>
            <w:r w:rsidRPr="00AE0BFD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display screen with session lock activated; </w:t>
            </w:r>
            <w:r w:rsidRPr="00AE0BFD">
              <w:rPr>
                <w:rFonts w:ascii="Arial" w:hAnsi="Arial" w:cs="Arial"/>
                <w:iCs/>
                <w:sz w:val="16"/>
                <w:szCs w:val="16"/>
              </w:rPr>
              <w:t>information system design documentation; information system configuration settings and associated documentation; other relevant documents or records].</w:t>
            </w:r>
          </w:p>
          <w:p w:rsidR="007432BE" w:rsidRPr="00D54FC9" w:rsidRDefault="007432BE" w:rsidP="003B08F2">
            <w:pPr>
              <w:spacing w:before="60" w:after="120"/>
              <w:ind w:left="749" w:hanging="749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AE0BF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AE0BF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E0BF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BF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session lock</w:t>
            </w:r>
            <w:r w:rsidRPr="00AE0BF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mechanisms].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626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40E44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1C3BD4" w:rsidRPr="002F5405" w:rsidRDefault="001C3BD4" w:rsidP="0086263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626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D158D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34614C" w:rsidRPr="005073C2" w:rsidTr="00F351C8">
        <w:trPr>
          <w:cantSplit/>
        </w:trPr>
        <w:tc>
          <w:tcPr>
            <w:tcW w:w="1530" w:type="dxa"/>
            <w:gridSpan w:val="2"/>
          </w:tcPr>
          <w:p w:rsidR="0034614C" w:rsidRPr="005073C2" w:rsidRDefault="00EB0FA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AC-11(1)</w:t>
            </w:r>
            <w:r w:rsidR="00BF00BF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34614C"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34614C" w:rsidRPr="005073C2" w:rsidRDefault="0034614C" w:rsidP="008D6BC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8D6BCC">
              <w:rPr>
                <w:iCs/>
                <w:sz w:val="18"/>
                <w:szCs w:val="18"/>
              </w:rPr>
              <w:t>security plan</w:t>
            </w:r>
            <w:r w:rsidR="00D5319F"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D5319F"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</w:t>
            </w:r>
            <w:r w:rsidR="00857C58">
              <w:rPr>
                <w:iCs/>
                <w:sz w:val="18"/>
                <w:szCs w:val="18"/>
              </w:rPr>
              <w:t xml:space="preserve"> information system session lock mechanism</w:t>
            </w:r>
            <w:r w:rsidR="00B40E44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and </w:t>
            </w:r>
            <w:r w:rsidR="008D6BCC">
              <w:rPr>
                <w:iCs/>
                <w:sz w:val="18"/>
                <w:szCs w:val="18"/>
              </w:rPr>
              <w:t>their</w:t>
            </w:r>
            <w:r w:rsidR="00857C5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configura</w:t>
            </w:r>
            <w:r w:rsidR="00D5319F">
              <w:rPr>
                <w:iCs/>
                <w:sz w:val="18"/>
                <w:szCs w:val="18"/>
              </w:rPr>
              <w:t xml:space="preserve">tion settings to be employed </w:t>
            </w:r>
            <w:r w:rsidR="008D6BCC">
              <w:rPr>
                <w:iCs/>
                <w:sz w:val="18"/>
                <w:szCs w:val="18"/>
              </w:rPr>
              <w:t xml:space="preserve">that, </w:t>
            </w:r>
            <w:r w:rsidR="00857C58">
              <w:rPr>
                <w:iCs/>
                <w:sz w:val="18"/>
                <w:szCs w:val="18"/>
              </w:rPr>
              <w:t xml:space="preserve">when activated on a device with a display screen, </w:t>
            </w:r>
            <w:r w:rsidR="00D5319F">
              <w:rPr>
                <w:iCs/>
                <w:sz w:val="18"/>
                <w:szCs w:val="18"/>
              </w:rPr>
              <w:t>place</w:t>
            </w:r>
            <w:r w:rsidR="008D6BCC">
              <w:rPr>
                <w:iCs/>
                <w:sz w:val="18"/>
                <w:szCs w:val="18"/>
              </w:rPr>
              <w:t>s</w:t>
            </w:r>
            <w:r w:rsidR="00D5319F">
              <w:rPr>
                <w:iCs/>
                <w:sz w:val="18"/>
                <w:szCs w:val="18"/>
              </w:rPr>
              <w:t xml:space="preserve"> a publicly viewable pattern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5319F">
              <w:rPr>
                <w:iCs/>
                <w:sz w:val="18"/>
                <w:szCs w:val="18"/>
              </w:rPr>
              <w:t>onto the display screen, hiding what was previously visible on the screen</w:t>
            </w:r>
            <w:r w:rsidR="00857C58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34614C" w:rsidRPr="005073C2" w:rsidTr="00F351C8">
        <w:trPr>
          <w:cantSplit/>
        </w:trPr>
        <w:tc>
          <w:tcPr>
            <w:tcW w:w="1530" w:type="dxa"/>
            <w:gridSpan w:val="2"/>
          </w:tcPr>
          <w:p w:rsidR="0034614C" w:rsidRPr="002F5405" w:rsidRDefault="00EB0FA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AC-11(1)</w:t>
            </w:r>
            <w:r w:rsidR="00BF00BF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D5319F"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4614C" w:rsidRPr="00846589" w:rsidRDefault="0034614C" w:rsidP="0075257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B27C8C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AC-11</w:t>
            </w:r>
            <w:r w:rsidR="00EB0FA5">
              <w:rPr>
                <w:iCs/>
                <w:sz w:val="18"/>
                <w:szCs w:val="18"/>
              </w:rPr>
              <w:t>(1)</w:t>
            </w:r>
            <w:r w:rsidR="00BF00BF">
              <w:rPr>
                <w:iCs/>
                <w:sz w:val="18"/>
                <w:szCs w:val="18"/>
              </w:rPr>
              <w:t>.1</w:t>
            </w:r>
            <w:r w:rsidR="00D5319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EB0FA5">
              <w:rPr>
                <w:iCs/>
                <w:sz w:val="18"/>
                <w:szCs w:val="18"/>
              </w:rPr>
              <w:t>AC-11(1)</w:t>
            </w:r>
            <w:r w:rsidR="00BF00BF">
              <w:rPr>
                <w:iCs/>
                <w:sz w:val="18"/>
                <w:szCs w:val="18"/>
              </w:rPr>
              <w:t>.1</w:t>
            </w:r>
            <w:r w:rsidR="00D5319F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34614C" w:rsidRPr="005073C2" w:rsidTr="00F351C8">
        <w:trPr>
          <w:cantSplit/>
        </w:trPr>
        <w:tc>
          <w:tcPr>
            <w:tcW w:w="1530" w:type="dxa"/>
            <w:gridSpan w:val="2"/>
          </w:tcPr>
          <w:p w:rsidR="0034614C" w:rsidRPr="002F5405" w:rsidRDefault="00EB0FA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lastRenderedPageBreak/>
              <w:t>AC-11(1)</w:t>
            </w:r>
            <w:r w:rsidR="00BF00BF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D5319F"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34614C" w:rsidRPr="005073C2" w:rsidRDefault="0034614C" w:rsidP="0075257E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B0FA5">
              <w:rPr>
                <w:iCs/>
                <w:sz w:val="18"/>
                <w:szCs w:val="18"/>
              </w:rPr>
              <w:t>AC-11(1)</w:t>
            </w:r>
            <w:r w:rsidR="00BF00BF">
              <w:rPr>
                <w:iCs/>
                <w:sz w:val="18"/>
                <w:szCs w:val="18"/>
              </w:rPr>
              <w:t>.1</w:t>
            </w:r>
            <w:r w:rsidR="00D5319F"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 w:rsidP="00857C58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EB8" w:rsidRDefault="00CA6EB8" w:rsidP="00F351C8">
      <w:r>
        <w:separator/>
      </w:r>
    </w:p>
  </w:endnote>
  <w:endnote w:type="continuationSeparator" w:id="0">
    <w:p w:rsidR="00CA6EB8" w:rsidRDefault="00CA6EB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E40" w:rsidRDefault="00C04E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1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C04E40" w:rsidRPr="00C04E40" w:rsidRDefault="00C04E40">
            <w:pPr>
              <w:pStyle w:val="Footer"/>
              <w:jc w:val="center"/>
              <w:rPr>
                <w:sz w:val="20"/>
                <w:szCs w:val="20"/>
              </w:rPr>
            </w:pPr>
            <w:r w:rsidRPr="00C04E40">
              <w:rPr>
                <w:sz w:val="20"/>
                <w:szCs w:val="20"/>
              </w:rPr>
              <w:t>Initial Public Draft</w:t>
            </w:r>
          </w:p>
          <w:p w:rsidR="00C04E40" w:rsidRPr="00C04E40" w:rsidRDefault="00C04E40">
            <w:pPr>
              <w:pStyle w:val="Footer"/>
              <w:jc w:val="center"/>
              <w:rPr>
                <w:sz w:val="20"/>
                <w:szCs w:val="20"/>
              </w:rPr>
            </w:pPr>
            <w:r w:rsidRPr="00C04E40">
              <w:rPr>
                <w:sz w:val="20"/>
                <w:szCs w:val="20"/>
              </w:rPr>
              <w:t xml:space="preserve">Page </w:t>
            </w:r>
            <w:r w:rsidR="00B37C50" w:rsidRPr="00C04E40">
              <w:rPr>
                <w:b/>
                <w:sz w:val="20"/>
                <w:szCs w:val="20"/>
              </w:rPr>
              <w:fldChar w:fldCharType="begin"/>
            </w:r>
            <w:r w:rsidRPr="00C04E40">
              <w:rPr>
                <w:b/>
                <w:sz w:val="20"/>
                <w:szCs w:val="20"/>
              </w:rPr>
              <w:instrText xml:space="preserve"> PAGE </w:instrText>
            </w:r>
            <w:r w:rsidR="00B37C50" w:rsidRPr="00C04E40">
              <w:rPr>
                <w:b/>
                <w:sz w:val="20"/>
                <w:szCs w:val="20"/>
              </w:rPr>
              <w:fldChar w:fldCharType="separate"/>
            </w:r>
            <w:r w:rsidR="00BF00BF">
              <w:rPr>
                <w:b/>
                <w:noProof/>
                <w:sz w:val="20"/>
                <w:szCs w:val="20"/>
              </w:rPr>
              <w:t>3</w:t>
            </w:r>
            <w:r w:rsidR="00B37C50" w:rsidRPr="00C04E40">
              <w:rPr>
                <w:b/>
                <w:sz w:val="20"/>
                <w:szCs w:val="20"/>
              </w:rPr>
              <w:fldChar w:fldCharType="end"/>
            </w:r>
            <w:r w:rsidRPr="00C04E40">
              <w:rPr>
                <w:sz w:val="20"/>
                <w:szCs w:val="20"/>
              </w:rPr>
              <w:t xml:space="preserve"> of </w:t>
            </w:r>
            <w:r w:rsidR="00B37C50" w:rsidRPr="00C04E40">
              <w:rPr>
                <w:b/>
                <w:sz w:val="20"/>
                <w:szCs w:val="20"/>
              </w:rPr>
              <w:fldChar w:fldCharType="begin"/>
            </w:r>
            <w:r w:rsidRPr="00C04E40">
              <w:rPr>
                <w:b/>
                <w:sz w:val="20"/>
                <w:szCs w:val="20"/>
              </w:rPr>
              <w:instrText xml:space="preserve"> NUMPAGES  </w:instrText>
            </w:r>
            <w:r w:rsidR="00B37C50" w:rsidRPr="00C04E40">
              <w:rPr>
                <w:b/>
                <w:sz w:val="20"/>
                <w:szCs w:val="20"/>
              </w:rPr>
              <w:fldChar w:fldCharType="separate"/>
            </w:r>
            <w:r w:rsidR="00BF00BF">
              <w:rPr>
                <w:b/>
                <w:noProof/>
                <w:sz w:val="20"/>
                <w:szCs w:val="20"/>
              </w:rPr>
              <w:t>3</w:t>
            </w:r>
            <w:r w:rsidR="00B37C50" w:rsidRPr="00C04E4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C04E40" w:rsidRPr="00C04E40" w:rsidRDefault="00C04E40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E40" w:rsidRDefault="00C04E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EB8" w:rsidRDefault="00CA6EB8" w:rsidP="00F351C8">
      <w:r>
        <w:separator/>
      </w:r>
    </w:p>
  </w:footnote>
  <w:footnote w:type="continuationSeparator" w:id="0">
    <w:p w:rsidR="00CA6EB8" w:rsidRDefault="00CA6EB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E40" w:rsidRDefault="00C04E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E40" w:rsidRPr="00C04E40" w:rsidRDefault="00C04E40">
    <w:pPr>
      <w:pStyle w:val="Header"/>
      <w:rPr>
        <w:sz w:val="20"/>
        <w:szCs w:val="20"/>
      </w:rPr>
    </w:pPr>
    <w:r w:rsidRPr="00C04E40">
      <w:rPr>
        <w:sz w:val="20"/>
        <w:szCs w:val="20"/>
      </w:rPr>
      <w:t>Assessment Case:  AC-11 Session Lock</w:t>
    </w:r>
  </w:p>
  <w:p w:rsidR="00C04E40" w:rsidRDefault="00C04E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E40" w:rsidRDefault="00C04E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FD6345"/>
    <w:multiLevelType w:val="hybridMultilevel"/>
    <w:tmpl w:val="45541D82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7B90"/>
    <w:rsid w:val="00034225"/>
    <w:rsid w:val="00117BC0"/>
    <w:rsid w:val="00127B11"/>
    <w:rsid w:val="00135460"/>
    <w:rsid w:val="001671ED"/>
    <w:rsid w:val="00196513"/>
    <w:rsid w:val="001C3BD4"/>
    <w:rsid w:val="001D18B5"/>
    <w:rsid w:val="00235991"/>
    <w:rsid w:val="00280365"/>
    <w:rsid w:val="002F5405"/>
    <w:rsid w:val="002F620B"/>
    <w:rsid w:val="002F6E98"/>
    <w:rsid w:val="003111F5"/>
    <w:rsid w:val="0034614C"/>
    <w:rsid w:val="00391588"/>
    <w:rsid w:val="003B5BE0"/>
    <w:rsid w:val="003D2E68"/>
    <w:rsid w:val="003D4A0A"/>
    <w:rsid w:val="003D73C2"/>
    <w:rsid w:val="003F1B82"/>
    <w:rsid w:val="00443FFC"/>
    <w:rsid w:val="004569C2"/>
    <w:rsid w:val="00493428"/>
    <w:rsid w:val="00531A1C"/>
    <w:rsid w:val="0055491C"/>
    <w:rsid w:val="005A130F"/>
    <w:rsid w:val="005E0988"/>
    <w:rsid w:val="005F621E"/>
    <w:rsid w:val="00614B4F"/>
    <w:rsid w:val="00623080"/>
    <w:rsid w:val="0065175E"/>
    <w:rsid w:val="006E36E2"/>
    <w:rsid w:val="006F3A36"/>
    <w:rsid w:val="00707F6C"/>
    <w:rsid w:val="007134C8"/>
    <w:rsid w:val="007432BE"/>
    <w:rsid w:val="00792EC2"/>
    <w:rsid w:val="007D39C7"/>
    <w:rsid w:val="0081301E"/>
    <w:rsid w:val="00815467"/>
    <w:rsid w:val="00827F5C"/>
    <w:rsid w:val="00854526"/>
    <w:rsid w:val="00857C58"/>
    <w:rsid w:val="0086263F"/>
    <w:rsid w:val="00870562"/>
    <w:rsid w:val="008C3AB6"/>
    <w:rsid w:val="008D6349"/>
    <w:rsid w:val="008D6BCC"/>
    <w:rsid w:val="008E5682"/>
    <w:rsid w:val="008F10FE"/>
    <w:rsid w:val="0090735A"/>
    <w:rsid w:val="00920EAA"/>
    <w:rsid w:val="00927DC8"/>
    <w:rsid w:val="00946C12"/>
    <w:rsid w:val="00A26D24"/>
    <w:rsid w:val="00A45573"/>
    <w:rsid w:val="00AB4016"/>
    <w:rsid w:val="00AD46A5"/>
    <w:rsid w:val="00AF7623"/>
    <w:rsid w:val="00B031A6"/>
    <w:rsid w:val="00B27805"/>
    <w:rsid w:val="00B27C8C"/>
    <w:rsid w:val="00B37C50"/>
    <w:rsid w:val="00B40E44"/>
    <w:rsid w:val="00B576E5"/>
    <w:rsid w:val="00B6655E"/>
    <w:rsid w:val="00BB37B9"/>
    <w:rsid w:val="00BE0A45"/>
    <w:rsid w:val="00BF00BF"/>
    <w:rsid w:val="00C04E40"/>
    <w:rsid w:val="00C26D2E"/>
    <w:rsid w:val="00C436AC"/>
    <w:rsid w:val="00C70011"/>
    <w:rsid w:val="00C72F37"/>
    <w:rsid w:val="00CA6EB8"/>
    <w:rsid w:val="00CF0A1E"/>
    <w:rsid w:val="00D158D5"/>
    <w:rsid w:val="00D5319F"/>
    <w:rsid w:val="00DA3278"/>
    <w:rsid w:val="00DA740B"/>
    <w:rsid w:val="00E22AC1"/>
    <w:rsid w:val="00E31845"/>
    <w:rsid w:val="00E600DE"/>
    <w:rsid w:val="00EB0FA5"/>
    <w:rsid w:val="00F15739"/>
    <w:rsid w:val="00F31535"/>
    <w:rsid w:val="00F351C8"/>
    <w:rsid w:val="00F41A27"/>
    <w:rsid w:val="00FB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8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158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2E06F-1C16-4969-925D-35CFC332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18</cp:revision>
  <cp:lastPrinted>2011-01-04T02:19:00Z</cp:lastPrinted>
  <dcterms:created xsi:type="dcterms:W3CDTF">2011-10-03T16:48:00Z</dcterms:created>
  <dcterms:modified xsi:type="dcterms:W3CDTF">2011-11-04T17:49:00Z</dcterms:modified>
</cp:coreProperties>
</file>