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360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54841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DD739F">
        <w:trPr>
          <w:cantSplit/>
        </w:trPr>
        <w:tc>
          <w:tcPr>
            <w:tcW w:w="1170" w:type="dxa"/>
            <w:shd w:val="clear" w:color="auto" w:fill="A6A6A6" w:themeFill="background1" w:themeFillShade="A6"/>
          </w:tcPr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CA-2     </w:t>
            </w:r>
          </w:p>
        </w:tc>
        <w:tc>
          <w:tcPr>
            <w:tcW w:w="7470" w:type="dxa"/>
            <w:gridSpan w:val="2"/>
            <w:shd w:val="clear" w:color="auto" w:fill="A6A6A6" w:themeFill="background1" w:themeFillShade="A6"/>
          </w:tcPr>
          <w:p w:rsidR="00DD739F" w:rsidRPr="001D5075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ASSESSMENTS</w:t>
            </w:r>
          </w:p>
        </w:tc>
      </w:tr>
      <w:tr w:rsidR="00DD739F" w:rsidRPr="00D54FC9" w:rsidTr="00DD739F">
        <w:trPr>
          <w:cantSplit/>
        </w:trPr>
        <w:tc>
          <w:tcPr>
            <w:tcW w:w="1170" w:type="dxa"/>
          </w:tcPr>
          <w:p w:rsidR="00554841" w:rsidRDefault="00554841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</w:p>
          <w:p w:rsidR="00DD739F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739F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739F" w:rsidRDefault="00DD739F" w:rsidP="00554841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DD739F" w:rsidRDefault="00DD739F" w:rsidP="00554841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DD739F" w:rsidRPr="001D5075" w:rsidRDefault="00DD739F" w:rsidP="00554841">
            <w:pPr>
              <w:tabs>
                <w:tab w:val="left" w:pos="910"/>
              </w:tabs>
              <w:spacing w:before="100" w:after="100"/>
              <w:rPr>
                <w:rFonts w:ascii="Arial" w:hAnsi="Arial" w:cs="Arial"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47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DD739F" w:rsidRDefault="00DD739F" w:rsidP="00DD739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D5075">
              <w:rPr>
                <w:i/>
                <w:sz w:val="20"/>
                <w:szCs w:val="20"/>
              </w:rPr>
              <w:t>the organization develops a security assessment plan for the information system; and</w:t>
            </w:r>
          </w:p>
          <w:p w:rsidR="00DD739F" w:rsidRPr="00BE12CC" w:rsidRDefault="00DD739F" w:rsidP="00DD739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E12CC">
              <w:rPr>
                <w:i/>
                <w:iCs/>
                <w:sz w:val="20"/>
              </w:rPr>
              <w:t>the security assessment plan describes the scope of the assessment including:</w:t>
            </w:r>
          </w:p>
          <w:p w:rsidR="00DD739F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BE12CC">
              <w:rPr>
                <w:i/>
                <w:sz w:val="20"/>
                <w:szCs w:val="20"/>
              </w:rPr>
              <w:t>security controls and control enhancements under assessment;</w:t>
            </w:r>
          </w:p>
          <w:p w:rsidR="00DD739F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BE12CC">
              <w:rPr>
                <w:i/>
                <w:sz w:val="20"/>
                <w:szCs w:val="20"/>
              </w:rPr>
              <w:t>assessment procedures to be used to determine security control effectiveness; and</w:t>
            </w:r>
          </w:p>
          <w:p w:rsidR="00DD739F" w:rsidRPr="00BE12CC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 w:after="60"/>
              <w:ind w:left="706" w:hanging="274"/>
              <w:rPr>
                <w:i/>
                <w:sz w:val="20"/>
                <w:szCs w:val="20"/>
              </w:rPr>
            </w:pPr>
            <w:proofErr w:type="gramStart"/>
            <w:r w:rsidRPr="00BE12CC">
              <w:rPr>
                <w:i/>
                <w:sz w:val="20"/>
                <w:szCs w:val="20"/>
              </w:rPr>
              <w:t>assessment</w:t>
            </w:r>
            <w:proofErr w:type="gramEnd"/>
            <w:r w:rsidRPr="00BE12CC">
              <w:rPr>
                <w:i/>
                <w:sz w:val="20"/>
                <w:szCs w:val="20"/>
              </w:rPr>
              <w:t xml:space="preserve"> environment, assessment team, and assessment roles and responsibilities</w:t>
            </w:r>
            <w:r w:rsidRPr="00BE12CC">
              <w:rPr>
                <w:i/>
                <w:iCs/>
                <w:sz w:val="20"/>
              </w:rPr>
              <w:t>.</w:t>
            </w:r>
          </w:p>
          <w:p w:rsidR="00DD739F" w:rsidRPr="00877A4E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7A4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739F" w:rsidRPr="001D5075" w:rsidRDefault="00DD739F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877A4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assessment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and authorization 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policy; procedures addressing security assessments;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>security assessment plan; other relevant documents or records].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DD739F">
        <w:trPr>
          <w:cantSplit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470" w:type="dxa"/>
            <w:gridSpan w:val="2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4245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42455" w:rsidRPr="00FE561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</w:t>
            </w:r>
            <w:r w:rsidR="00B9416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986F1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</w:t>
            </w:r>
            <w:r w:rsidR="00457EB6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PM-10, </w:t>
            </w:r>
            <w:r w:rsidR="003C2FF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RA-3, </w:t>
            </w:r>
            <w:r w:rsidR="00F630C0">
              <w:rPr>
                <w:rFonts w:ascii="Arial" w:hAnsi="Arial" w:cs="Arial"/>
                <w:iCs/>
                <w:smallCaps/>
                <w:sz w:val="16"/>
                <w:szCs w:val="16"/>
              </w:rPr>
              <w:t>RA-5</w:t>
            </w:r>
            <w:r w:rsidR="00D40A5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142455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SA-11</w:t>
            </w:r>
            <w:r w:rsidR="00F630C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</w:t>
            </w:r>
            <w:r w:rsidR="00D40A5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S</w:t>
            </w:r>
            <w:r w:rsidR="00F630C0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I-2</w:t>
            </w:r>
          </w:p>
          <w:p w:rsidR="00C70011" w:rsidRPr="005073C2" w:rsidRDefault="00C70011" w:rsidP="003C2FF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 w:rsidR="00F84FBC">
              <w:rPr>
                <w:rFonts w:ascii="Arial" w:hAnsi="Arial" w:cs="Arial"/>
                <w:iCs/>
                <w:smallCaps/>
                <w:sz w:val="16"/>
                <w:szCs w:val="16"/>
              </w:rPr>
              <w:t>CA-5</w:t>
            </w:r>
            <w:r w:rsidR="00457EB6">
              <w:rPr>
                <w:rFonts w:ascii="Arial" w:hAnsi="Arial" w:cs="Arial"/>
                <w:iCs/>
                <w:smallCaps/>
                <w:sz w:val="16"/>
                <w:szCs w:val="16"/>
              </w:rPr>
              <w:t>, PM-4</w:t>
            </w:r>
          </w:p>
        </w:tc>
      </w:tr>
      <w:tr w:rsidR="00C70011" w:rsidRPr="005073C2" w:rsidTr="00DD739F">
        <w:trPr>
          <w:cantSplit/>
        </w:trPr>
        <w:tc>
          <w:tcPr>
            <w:tcW w:w="117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47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5484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9C3912" w:rsidRPr="005073C2" w:rsidTr="00DD739F">
        <w:trPr>
          <w:cantSplit/>
        </w:trPr>
        <w:tc>
          <w:tcPr>
            <w:tcW w:w="1170" w:type="dxa"/>
          </w:tcPr>
          <w:p w:rsidR="009C3912" w:rsidRPr="005073C2" w:rsidRDefault="009C391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470" w:type="dxa"/>
            <w:gridSpan w:val="2"/>
          </w:tcPr>
          <w:p w:rsidR="009C3912" w:rsidRDefault="009C3912" w:rsidP="003B25F6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9C3912" w:rsidRDefault="009C3912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9C3912" w:rsidRPr="005C5B9C" w:rsidRDefault="009C3912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9C3912" w:rsidRPr="005C5B9C" w:rsidRDefault="009C3912" w:rsidP="003B25F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F50F1" w:rsidRPr="005073C2" w:rsidTr="00DD739F">
        <w:trPr>
          <w:cantSplit/>
        </w:trPr>
        <w:tc>
          <w:tcPr>
            <w:tcW w:w="1170" w:type="dxa"/>
          </w:tcPr>
          <w:p w:rsidR="008F50F1" w:rsidRPr="005073C2" w:rsidRDefault="008F50F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CA-2.1.1.1</w:t>
            </w:r>
          </w:p>
        </w:tc>
        <w:tc>
          <w:tcPr>
            <w:tcW w:w="7470" w:type="dxa"/>
            <w:gridSpan w:val="2"/>
          </w:tcPr>
          <w:p w:rsidR="008F50F1" w:rsidRPr="00F051A9" w:rsidRDefault="008F50F1" w:rsidP="0034225B">
            <w:pPr>
              <w:spacing w:before="120" w:after="120"/>
              <w:rPr>
                <w:i/>
                <w:iCs/>
                <w:sz w:val="18"/>
                <w:szCs w:val="18"/>
              </w:rPr>
            </w:pPr>
            <w:r w:rsidRPr="00EB640F">
              <w:rPr>
                <w:b/>
                <w:iCs/>
                <w:sz w:val="18"/>
                <w:szCs w:val="18"/>
              </w:rPr>
              <w:t xml:space="preserve">Examine </w:t>
            </w:r>
            <w:r w:rsidR="0034225B">
              <w:rPr>
                <w:iCs/>
                <w:sz w:val="18"/>
                <w:szCs w:val="18"/>
              </w:rPr>
              <w:t>information system documentation; [</w:t>
            </w:r>
            <w:r w:rsidR="0034225B" w:rsidRPr="0034225B">
              <w:rPr>
                <w:i/>
                <w:iCs/>
                <w:sz w:val="18"/>
                <w:szCs w:val="18"/>
              </w:rPr>
              <w:t>reviewing</w:t>
            </w:r>
            <w:r w:rsidR="0034225B">
              <w:rPr>
                <w:iCs/>
                <w:sz w:val="18"/>
                <w:szCs w:val="18"/>
              </w:rPr>
              <w:t xml:space="preserve">] </w:t>
            </w:r>
            <w:r w:rsidR="00F64FE2">
              <w:rPr>
                <w:iCs/>
                <w:sz w:val="18"/>
                <w:szCs w:val="18"/>
              </w:rPr>
              <w:t>for a</w:t>
            </w:r>
            <w:r w:rsidR="00FA55AF">
              <w:rPr>
                <w:iCs/>
                <w:sz w:val="18"/>
                <w:szCs w:val="18"/>
              </w:rPr>
              <w:t xml:space="preserve"> security assessment plan for the information system.</w:t>
            </w:r>
          </w:p>
        </w:tc>
      </w:tr>
      <w:tr w:rsidR="00F31535" w:rsidRPr="005073C2" w:rsidTr="00DD739F">
        <w:trPr>
          <w:cantSplit/>
        </w:trPr>
        <w:tc>
          <w:tcPr>
            <w:tcW w:w="1170" w:type="dxa"/>
          </w:tcPr>
          <w:p w:rsidR="00142455" w:rsidRDefault="00142455" w:rsidP="00554841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554841" w:rsidRDefault="00554841" w:rsidP="00554841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56C34" w:rsidRDefault="00E56C34" w:rsidP="00E56C3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D49A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E56C34" w:rsidRDefault="00E56C34" w:rsidP="00E56C3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D49AD"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F31535" w:rsidRPr="00E56C34" w:rsidRDefault="00E56C34" w:rsidP="00F64FE2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F64F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1D49A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64FE2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470" w:type="dxa"/>
            <w:gridSpan w:val="2"/>
          </w:tcPr>
          <w:p w:rsidR="00F31535" w:rsidRPr="00DB47D1" w:rsidRDefault="00142455" w:rsidP="0014245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B47D1">
              <w:rPr>
                <w:b/>
                <w:iCs/>
                <w:sz w:val="18"/>
                <w:szCs w:val="18"/>
              </w:rPr>
              <w:t xml:space="preserve">Examine </w:t>
            </w:r>
            <w:r w:rsidRPr="00DB47D1">
              <w:rPr>
                <w:iCs/>
                <w:sz w:val="18"/>
                <w:szCs w:val="18"/>
              </w:rPr>
              <w:t>the security assessment plan; [</w:t>
            </w:r>
            <w:r w:rsidRPr="00DB47D1">
              <w:rPr>
                <w:i/>
                <w:iCs/>
                <w:sz w:val="18"/>
                <w:szCs w:val="18"/>
              </w:rPr>
              <w:t>reviewing</w:t>
            </w:r>
            <w:r w:rsidRPr="00DB47D1">
              <w:rPr>
                <w:iCs/>
                <w:sz w:val="18"/>
                <w:szCs w:val="18"/>
              </w:rPr>
              <w:t xml:space="preserve">] for </w:t>
            </w:r>
            <w:r w:rsidR="001D49AD">
              <w:rPr>
                <w:iCs/>
                <w:sz w:val="18"/>
                <w:szCs w:val="18"/>
              </w:rPr>
              <w:t>a description of</w:t>
            </w:r>
            <w:r w:rsidRPr="00DB47D1">
              <w:rPr>
                <w:iCs/>
                <w:sz w:val="18"/>
                <w:szCs w:val="18"/>
              </w:rPr>
              <w:t xml:space="preserve"> the scope </w:t>
            </w:r>
            <w:r w:rsidR="00E56C34" w:rsidRPr="00DB47D1">
              <w:rPr>
                <w:iCs/>
                <w:sz w:val="18"/>
                <w:szCs w:val="18"/>
              </w:rPr>
              <w:t>of the assessment including:</w:t>
            </w:r>
          </w:p>
          <w:p w:rsidR="00E56C34" w:rsidRPr="00DB47D1" w:rsidRDefault="00E56C34" w:rsidP="0014245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B47D1">
              <w:rPr>
                <w:iCs/>
                <w:sz w:val="18"/>
                <w:szCs w:val="18"/>
              </w:rPr>
              <w:t>-security controls and control enhancements under assessment;</w:t>
            </w:r>
          </w:p>
          <w:p w:rsidR="00E56C34" w:rsidRPr="00DB47D1" w:rsidRDefault="00E56C34" w:rsidP="0014245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DB47D1">
              <w:rPr>
                <w:iCs/>
                <w:sz w:val="18"/>
                <w:szCs w:val="18"/>
              </w:rPr>
              <w:t>-assessment procedures to be used to determine security control effectiveness; and</w:t>
            </w:r>
          </w:p>
          <w:p w:rsidR="00E56C34" w:rsidRPr="002F5405" w:rsidRDefault="00E56C34" w:rsidP="00142455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DB47D1">
              <w:rPr>
                <w:iCs/>
                <w:sz w:val="18"/>
                <w:szCs w:val="18"/>
              </w:rPr>
              <w:t>-assessment environment, assessment team, and assessment roles and responsibilities.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D739F" w:rsidRPr="0055491C" w:rsidTr="003C553D">
        <w:trPr>
          <w:cantSplit/>
          <w:trHeight w:val="58"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554841" w:rsidRDefault="00554841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554841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</w:p>
          <w:p w:rsidR="00DD739F" w:rsidRDefault="00DD739F" w:rsidP="00554841">
            <w:pPr>
              <w:tabs>
                <w:tab w:val="left" w:pos="910"/>
              </w:tabs>
              <w:spacing w:before="24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739F" w:rsidRDefault="00DD739F" w:rsidP="00554841">
            <w:pPr>
              <w:tabs>
                <w:tab w:val="left" w:pos="910"/>
              </w:tabs>
              <w:spacing w:before="24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739F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DD739F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554841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iCs/>
                <w:sz w:val="20"/>
                <w:szCs w:val="20"/>
              </w:rPr>
              <w:t>Determine if:</w:t>
            </w:r>
          </w:p>
          <w:p w:rsidR="00DD739F" w:rsidRPr="001D5075" w:rsidRDefault="00DD739F" w:rsidP="00DD739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sz w:val="20"/>
                <w:szCs w:val="20"/>
              </w:rPr>
              <w:t xml:space="preserve">the organization defines the frequency of assessing the security controls in the information system to determine the extent to which the controls are implemented correctly, </w:t>
            </w:r>
            <w:r w:rsidRPr="001D5075">
              <w:rPr>
                <w:i/>
                <w:iCs/>
                <w:sz w:val="20"/>
              </w:rPr>
              <w:t>operating as intended, and producing the desired outcome with respect to meeting the security requirements for the system;</w:t>
            </w:r>
          </w:p>
          <w:p w:rsidR="00DD739F" w:rsidRPr="001D5075" w:rsidRDefault="00DD739F" w:rsidP="00DD739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sz w:val="20"/>
                <w:szCs w:val="20"/>
              </w:rPr>
              <w:t>the organization assesses the security controls in the information system at the organization-defined frequency;</w:t>
            </w:r>
          </w:p>
          <w:p w:rsidR="00DD739F" w:rsidRPr="001D5075" w:rsidRDefault="00DD739F" w:rsidP="00DD739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  <w:szCs w:val="20"/>
              </w:rPr>
            </w:pPr>
            <w:r w:rsidRPr="001D5075">
              <w:rPr>
                <w:i/>
                <w:iCs/>
                <w:sz w:val="20"/>
                <w:szCs w:val="20"/>
              </w:rPr>
              <w:t>the organization produces a security assessment report that documents the results of the security control assessment; and</w:t>
            </w:r>
          </w:p>
          <w:p w:rsidR="00DD739F" w:rsidRPr="001D5075" w:rsidRDefault="00DD739F" w:rsidP="00DD739F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/>
              <w:rPr>
                <w:i/>
                <w:iCs/>
                <w:sz w:val="20"/>
                <w:szCs w:val="20"/>
              </w:rPr>
            </w:pPr>
            <w:proofErr w:type="gramStart"/>
            <w:r w:rsidRPr="001D5075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1D5075">
              <w:rPr>
                <w:i/>
                <w:iCs/>
                <w:sz w:val="20"/>
                <w:szCs w:val="20"/>
              </w:rPr>
              <w:t xml:space="preserve"> results of the security control assessment are provided, in writing, to the authorizing official or authorizing official designated representative.</w:t>
            </w:r>
          </w:p>
          <w:p w:rsidR="00DD739F" w:rsidRPr="00877A4E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877A4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120"/>
              <w:ind w:left="706" w:hanging="706"/>
              <w:rPr>
                <w:rFonts w:ascii="Arial" w:hAnsi="Arial" w:cs="Arial"/>
                <w:iCs/>
                <w:sz w:val="16"/>
                <w:szCs w:val="16"/>
              </w:rPr>
            </w:pPr>
            <w:r w:rsidRPr="00877A4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assessment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and authorization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procedures addressing security assessments; security plan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 xml:space="preserve">; security assessment plan; security assessment report;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security 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 xml:space="preserve">assessment evidence;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plan of action and milestones; 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34271">
              <w:rPr>
                <w:rFonts w:ascii="Arial" w:hAnsi="Arial" w:cs="Arial"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security assessment 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C553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C061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CA-7, </w:t>
            </w:r>
            <w:r w:rsidR="00AA530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PM-10, RA-3, RA-5, </w:t>
            </w:r>
            <w:r w:rsidR="003C553D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SA-11</w:t>
            </w:r>
            <w:r w:rsidR="00AA530A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 SI-2</w:t>
            </w:r>
          </w:p>
          <w:p w:rsidR="00DD739F" w:rsidRPr="005073C2" w:rsidRDefault="00DD739F" w:rsidP="00EA523F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A523F">
              <w:rPr>
                <w:rFonts w:ascii="Arial" w:hAnsi="Arial" w:cs="Arial"/>
                <w:iCs/>
                <w:smallCaps/>
                <w:sz w:val="16"/>
                <w:szCs w:val="16"/>
              </w:rPr>
              <w:t>CA-5</w:t>
            </w:r>
            <w:r w:rsidR="00AA530A">
              <w:rPr>
                <w:rFonts w:ascii="Arial" w:hAnsi="Arial" w:cs="Arial"/>
                <w:iCs/>
                <w:smallCaps/>
                <w:sz w:val="16"/>
                <w:szCs w:val="16"/>
              </w:rPr>
              <w:t>, PM-4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B28B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DD739F" w:rsidRPr="002F5405" w:rsidTr="00005197">
        <w:trPr>
          <w:cantSplit/>
        </w:trPr>
        <w:tc>
          <w:tcPr>
            <w:tcW w:w="1530" w:type="dxa"/>
            <w:gridSpan w:val="2"/>
          </w:tcPr>
          <w:p w:rsidR="00E56C34" w:rsidRDefault="00E56C34" w:rsidP="00E56C3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D739F" w:rsidRPr="002F5405" w:rsidRDefault="00DD739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DD739F" w:rsidRPr="00E56C34" w:rsidRDefault="00E56C34" w:rsidP="0008152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security assessm</w:t>
            </w:r>
            <w:r w:rsidR="001C0613">
              <w:rPr>
                <w:iCs/>
                <w:sz w:val="18"/>
                <w:szCs w:val="18"/>
              </w:rPr>
              <w:t xml:space="preserve">ent and authorization policy, </w:t>
            </w:r>
            <w:r>
              <w:rPr>
                <w:iCs/>
                <w:sz w:val="18"/>
                <w:szCs w:val="18"/>
              </w:rPr>
              <w:t>procedures addressing security assessments</w:t>
            </w:r>
            <w:r w:rsidR="0003330F">
              <w:rPr>
                <w:iCs/>
                <w:sz w:val="18"/>
                <w:szCs w:val="18"/>
              </w:rPr>
              <w:t>,</w:t>
            </w:r>
            <w:r w:rsidR="001C0613">
              <w:rPr>
                <w:iCs/>
                <w:sz w:val="18"/>
                <w:szCs w:val="18"/>
              </w:rPr>
              <w:t xml:space="preserve"> </w:t>
            </w:r>
            <w:r w:rsidR="0061395E">
              <w:rPr>
                <w:iCs/>
                <w:sz w:val="18"/>
                <w:szCs w:val="18"/>
              </w:rPr>
              <w:t xml:space="preserve">security plan, </w:t>
            </w:r>
            <w:r w:rsidR="001C0613">
              <w:rPr>
                <w:iCs/>
                <w:sz w:val="18"/>
                <w:szCs w:val="18"/>
              </w:rPr>
              <w:t>or other relevant documents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561F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>the frequency of assessing the security controls in the information system to determine the extent to which the controls are implemented correctly, operating</w:t>
            </w:r>
            <w:r w:rsidR="00081523">
              <w:rPr>
                <w:iCs/>
                <w:sz w:val="18"/>
                <w:szCs w:val="18"/>
              </w:rPr>
              <w:t xml:space="preserve"> as intended, and producing the desired outcome with respect to meeting the security requirements for the system.</w:t>
            </w:r>
          </w:p>
        </w:tc>
      </w:tr>
      <w:tr w:rsidR="00E56C34" w:rsidRPr="002F5405" w:rsidTr="00005197">
        <w:trPr>
          <w:cantSplit/>
        </w:trPr>
        <w:tc>
          <w:tcPr>
            <w:tcW w:w="1530" w:type="dxa"/>
            <w:gridSpan w:val="2"/>
          </w:tcPr>
          <w:p w:rsidR="00E56C34" w:rsidRPr="001D5075" w:rsidRDefault="00E56C34" w:rsidP="00E56C3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E56C34" w:rsidRPr="00FE561F" w:rsidRDefault="00E56C34" w:rsidP="00AB3BE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 w:rsidR="001C0613">
              <w:rPr>
                <w:iCs/>
                <w:sz w:val="18"/>
                <w:szCs w:val="18"/>
              </w:rPr>
              <w:t>an agreed-upon [</w:t>
            </w:r>
            <w:r w:rsidR="001C0613" w:rsidRPr="0003330F">
              <w:rPr>
                <w:i/>
                <w:iCs/>
                <w:sz w:val="18"/>
                <w:szCs w:val="18"/>
              </w:rPr>
              <w:t>basic</w:t>
            </w:r>
            <w:r w:rsidR="001C0613">
              <w:rPr>
                <w:iCs/>
                <w:sz w:val="18"/>
                <w:szCs w:val="18"/>
              </w:rPr>
              <w:t xml:space="preserve">] sample of </w:t>
            </w:r>
            <w:r w:rsidRPr="00FE561F">
              <w:rPr>
                <w:iCs/>
                <w:sz w:val="18"/>
                <w:szCs w:val="18"/>
              </w:rPr>
              <w:t>security assessment report</w:t>
            </w:r>
            <w:r w:rsidR="001C0613">
              <w:rPr>
                <w:iCs/>
                <w:sz w:val="18"/>
                <w:szCs w:val="18"/>
              </w:rPr>
              <w:t>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="00AB3BE0">
              <w:rPr>
                <w:iCs/>
                <w:sz w:val="18"/>
                <w:szCs w:val="18"/>
              </w:rPr>
              <w:t xml:space="preserve">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 w:rsidR="00AB3BE0">
              <w:rPr>
                <w:iCs/>
                <w:sz w:val="18"/>
                <w:szCs w:val="18"/>
              </w:rPr>
              <w:t xml:space="preserve">security controls in </w:t>
            </w:r>
            <w:r w:rsidRPr="00FE561F">
              <w:rPr>
                <w:iCs/>
                <w:sz w:val="18"/>
                <w:szCs w:val="18"/>
              </w:rPr>
              <w:t>the inform</w:t>
            </w:r>
            <w:r w:rsidR="00081523">
              <w:rPr>
                <w:iCs/>
                <w:sz w:val="18"/>
                <w:szCs w:val="18"/>
              </w:rPr>
              <w:t xml:space="preserve">ation system </w:t>
            </w:r>
            <w:r w:rsidRPr="00FE561F">
              <w:rPr>
                <w:iCs/>
                <w:sz w:val="18"/>
                <w:szCs w:val="18"/>
              </w:rPr>
              <w:t>are assessed in accordance with</w:t>
            </w:r>
            <w:r w:rsidR="0061395E">
              <w:rPr>
                <w:iCs/>
                <w:sz w:val="18"/>
                <w:szCs w:val="18"/>
              </w:rPr>
              <w:t xml:space="preserve"> the</w:t>
            </w:r>
            <w:r w:rsidRPr="00FE561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frequency</w:t>
            </w:r>
            <w:r w:rsidR="00AB3BE0">
              <w:rPr>
                <w:iCs/>
                <w:sz w:val="18"/>
                <w:szCs w:val="18"/>
              </w:rPr>
              <w:t xml:space="preserve"> </w:t>
            </w:r>
            <w:r w:rsidR="00AB3BE0">
              <w:rPr>
                <w:sz w:val="18"/>
                <w:szCs w:val="18"/>
              </w:rPr>
              <w:t>identified in CA-2.2.1.1.</w:t>
            </w:r>
          </w:p>
        </w:tc>
      </w:tr>
      <w:tr w:rsidR="00DD739F" w:rsidRPr="002F5405" w:rsidTr="00005197">
        <w:trPr>
          <w:cantSplit/>
        </w:trPr>
        <w:tc>
          <w:tcPr>
            <w:tcW w:w="1530" w:type="dxa"/>
            <w:gridSpan w:val="2"/>
          </w:tcPr>
          <w:p w:rsidR="00DD739F" w:rsidRPr="002F5405" w:rsidRDefault="00E52B4A" w:rsidP="00005197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DD739F" w:rsidRPr="00AB3BE0" w:rsidRDefault="00AB3BE0" w:rsidP="002E774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 w:rsidR="0003330F">
              <w:rPr>
                <w:iCs/>
                <w:sz w:val="18"/>
                <w:szCs w:val="18"/>
              </w:rPr>
              <w:t>an agreed-upon [</w:t>
            </w:r>
            <w:r w:rsidR="0003330F" w:rsidRPr="0003330F">
              <w:rPr>
                <w:i/>
                <w:iCs/>
                <w:sz w:val="18"/>
                <w:szCs w:val="18"/>
              </w:rPr>
              <w:t>basic</w:t>
            </w:r>
            <w:r w:rsidR="0003330F">
              <w:rPr>
                <w:iCs/>
                <w:sz w:val="18"/>
                <w:szCs w:val="18"/>
              </w:rPr>
              <w:t xml:space="preserve">] sample of </w:t>
            </w:r>
            <w:r w:rsidRPr="00FE561F">
              <w:rPr>
                <w:iCs/>
                <w:sz w:val="18"/>
                <w:szCs w:val="18"/>
              </w:rPr>
              <w:t>security assessment report</w:t>
            </w:r>
            <w:r w:rsidR="0003330F">
              <w:rPr>
                <w:iCs/>
                <w:sz w:val="18"/>
                <w:szCs w:val="18"/>
              </w:rPr>
              <w:t>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 w:rsidR="00F64FE2">
              <w:rPr>
                <w:iCs/>
                <w:sz w:val="18"/>
                <w:szCs w:val="18"/>
              </w:rPr>
              <w:t>the results</w:t>
            </w:r>
            <w:r w:rsidR="00E52B4A">
              <w:rPr>
                <w:iCs/>
                <w:sz w:val="18"/>
                <w:szCs w:val="18"/>
              </w:rPr>
              <w:t xml:space="preserve"> of the security control assessment</w:t>
            </w:r>
            <w:r w:rsidR="002E7743">
              <w:rPr>
                <w:iCs/>
                <w:sz w:val="18"/>
                <w:szCs w:val="18"/>
              </w:rPr>
              <w:t>s are documented</w:t>
            </w:r>
            <w:r w:rsidR="00E52B4A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2F5405" w:rsidTr="00005197">
        <w:trPr>
          <w:cantSplit/>
        </w:trPr>
        <w:tc>
          <w:tcPr>
            <w:tcW w:w="1530" w:type="dxa"/>
            <w:gridSpan w:val="2"/>
          </w:tcPr>
          <w:p w:rsidR="00DD739F" w:rsidRPr="002F5405" w:rsidRDefault="00E52B4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</w:tc>
        <w:tc>
          <w:tcPr>
            <w:tcW w:w="7110" w:type="dxa"/>
          </w:tcPr>
          <w:p w:rsidR="00DD739F" w:rsidRPr="002F5405" w:rsidRDefault="00E52B4A" w:rsidP="005F3972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FE561F">
              <w:rPr>
                <w:b/>
                <w:iCs/>
                <w:sz w:val="18"/>
                <w:szCs w:val="18"/>
              </w:rPr>
              <w:t>Examine</w:t>
            </w:r>
            <w:r w:rsidRPr="00FE561F">
              <w:rPr>
                <w:iCs/>
                <w:sz w:val="18"/>
                <w:szCs w:val="18"/>
              </w:rPr>
              <w:t xml:space="preserve"> </w:t>
            </w:r>
            <w:r w:rsidR="005F3972">
              <w:rPr>
                <w:iCs/>
                <w:sz w:val="18"/>
                <w:szCs w:val="18"/>
              </w:rPr>
              <w:t>an agreed-upon [</w:t>
            </w:r>
            <w:r w:rsidR="005F3972">
              <w:rPr>
                <w:i/>
                <w:iCs/>
                <w:sz w:val="18"/>
                <w:szCs w:val="18"/>
              </w:rPr>
              <w:t>basic</w:t>
            </w:r>
            <w:r w:rsidR="005F3972">
              <w:rPr>
                <w:iCs/>
                <w:sz w:val="18"/>
                <w:szCs w:val="18"/>
              </w:rPr>
              <w:t>] sample of</w:t>
            </w:r>
            <w:r w:rsidR="005F3972">
              <w:rPr>
                <w:i/>
                <w:iCs/>
                <w:sz w:val="18"/>
                <w:szCs w:val="18"/>
              </w:rPr>
              <w:t xml:space="preserve"> </w:t>
            </w:r>
            <w:r w:rsidRPr="00FE561F">
              <w:rPr>
                <w:iCs/>
                <w:sz w:val="18"/>
                <w:szCs w:val="18"/>
              </w:rPr>
              <w:t>security assessment report</w:t>
            </w:r>
            <w:r w:rsidR="005F3972">
              <w:rPr>
                <w:iCs/>
                <w:sz w:val="18"/>
                <w:szCs w:val="18"/>
              </w:rPr>
              <w:t>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the results of the security control assessment</w:t>
            </w:r>
            <w:r w:rsidR="00E1793B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are </w:t>
            </w:r>
            <w:r w:rsidR="005F3972">
              <w:rPr>
                <w:iCs/>
                <w:sz w:val="18"/>
                <w:szCs w:val="18"/>
              </w:rPr>
              <w:t xml:space="preserve">to be </w:t>
            </w:r>
            <w:r>
              <w:rPr>
                <w:iCs/>
                <w:sz w:val="18"/>
                <w:szCs w:val="18"/>
              </w:rPr>
              <w:t>provided, in writing, to the authorizing official or authorizing official designated representative.</w:t>
            </w:r>
          </w:p>
        </w:tc>
      </w:tr>
      <w:tr w:rsidR="00F64FE2" w:rsidRPr="002F5405" w:rsidTr="00005197">
        <w:trPr>
          <w:cantSplit/>
        </w:trPr>
        <w:tc>
          <w:tcPr>
            <w:tcW w:w="1530" w:type="dxa"/>
            <w:gridSpan w:val="2"/>
          </w:tcPr>
          <w:p w:rsidR="00F64FE2" w:rsidRPr="001D5075" w:rsidRDefault="00F64FE2" w:rsidP="00FA0E90">
            <w:pPr>
              <w:tabs>
                <w:tab w:val="left" w:pos="126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CA-2.2.4.2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</w:tcPr>
          <w:p w:rsidR="00F64FE2" w:rsidRPr="005F3972" w:rsidRDefault="00F64FE2" w:rsidP="00FA0E90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>
              <w:rPr>
                <w:iCs/>
                <w:sz w:val="18"/>
                <w:szCs w:val="18"/>
              </w:rPr>
              <w:t xml:space="preserve"> authorizing official and authorizing official designated representative for the information system;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results of security control assessments are provided in writing.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DD739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B28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CA-2(1)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739F" w:rsidRPr="001D5075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ASSESSMENTS</w:t>
            </w:r>
          </w:p>
        </w:tc>
      </w:tr>
      <w:tr w:rsidR="00DD739F" w:rsidRPr="005073C2" w:rsidTr="003C553D">
        <w:trPr>
          <w:cantSplit/>
          <w:trHeight w:val="2339"/>
        </w:trPr>
        <w:tc>
          <w:tcPr>
            <w:tcW w:w="1530" w:type="dxa"/>
            <w:gridSpan w:val="2"/>
          </w:tcPr>
          <w:p w:rsidR="00720F53" w:rsidRPr="001D5075" w:rsidRDefault="00720F53" w:rsidP="00720F53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CA-2(1).1</w:t>
            </w:r>
          </w:p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CA-2(1).1</w:t>
            </w:r>
            <w:r w:rsidR="00720F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739F" w:rsidRPr="001D5075" w:rsidRDefault="00DD739F" w:rsidP="00554841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 the organization employs an independent assessor or assessment team to conduct an assessment of the security controls in the information system.</w:t>
            </w:r>
          </w:p>
          <w:p w:rsidR="00DD739F" w:rsidRPr="006B300A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6B300A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739F" w:rsidRDefault="00DD739F" w:rsidP="00005197">
            <w:pPr>
              <w:spacing w:before="60" w:after="6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877A4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assessment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and authorization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policy; procedures addressing sec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urity assessments; </w:t>
            </w:r>
            <w:r w:rsidRPr="00683BB6">
              <w:rPr>
                <w:rFonts w:ascii="Arial" w:hAnsi="Arial" w:cs="Arial"/>
                <w:iCs/>
                <w:sz w:val="16"/>
                <w:szCs w:val="16"/>
              </w:rPr>
              <w:t xml:space="preserve">security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authorization </w:t>
            </w:r>
            <w:r w:rsidRPr="00683BB6">
              <w:rPr>
                <w:rFonts w:ascii="Arial" w:hAnsi="Arial" w:cs="Arial"/>
                <w:iCs/>
                <w:sz w:val="16"/>
                <w:szCs w:val="16"/>
              </w:rPr>
              <w:t>package (including security plan, security assessment report, plan of action and milestones, authorization statement)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>; other relevant documents or records].</w:t>
            </w:r>
          </w:p>
          <w:p w:rsidR="00DD739F" w:rsidRPr="00F90BDA" w:rsidRDefault="00DD739F" w:rsidP="00005197">
            <w:pPr>
              <w:spacing w:before="60" w:after="120"/>
              <w:ind w:left="792" w:hanging="792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34271">
              <w:rPr>
                <w:rFonts w:ascii="Arial" w:hAnsi="Arial" w:cs="Arial"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security assessment responsibilities].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977D8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0977D8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A3E0E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CA-6, </w:t>
            </w:r>
            <w:r w:rsidR="000977D8" w:rsidRPr="00FF1F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CA-7, </w:t>
            </w:r>
            <w:r w:rsidR="00EB203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CM-4, PM-10, RA-3, RA-5, </w:t>
            </w:r>
            <w:r w:rsidR="000977D8" w:rsidRPr="00FF1F38">
              <w:rPr>
                <w:rFonts w:ascii="Arial" w:hAnsi="Arial" w:cs="Arial"/>
                <w:iCs/>
                <w:smallCaps/>
                <w:sz w:val="16"/>
                <w:szCs w:val="16"/>
              </w:rPr>
              <w:t>SA-11</w:t>
            </w:r>
            <w:r w:rsidR="00EB2030">
              <w:rPr>
                <w:rFonts w:ascii="Arial" w:hAnsi="Arial" w:cs="Arial"/>
                <w:iCs/>
                <w:smallCaps/>
                <w:sz w:val="16"/>
                <w:szCs w:val="16"/>
              </w:rPr>
              <w:t>, SI-2</w:t>
            </w:r>
          </w:p>
          <w:p w:rsidR="001C3BD4" w:rsidRPr="002F5405" w:rsidRDefault="001C3BD4" w:rsidP="00EA3E0E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A3E0E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DB28B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1C3BD4" w:rsidRPr="005073C2" w:rsidTr="00F351C8">
        <w:trPr>
          <w:cantSplit/>
        </w:trPr>
        <w:tc>
          <w:tcPr>
            <w:tcW w:w="1530" w:type="dxa"/>
            <w:gridSpan w:val="2"/>
          </w:tcPr>
          <w:p w:rsidR="001C3BD4" w:rsidRPr="002F5405" w:rsidRDefault="00554841" w:rsidP="00B21A5F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CA-2(1)</w:t>
            </w:r>
            <w:r w:rsidR="00B21A5F" w:rsidRPr="00B21A5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81523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B21A5F" w:rsidRPr="00B21A5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720F5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1C3BD4" w:rsidRPr="005073C2" w:rsidRDefault="000E3998" w:rsidP="00DC2C0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FF1F38">
              <w:rPr>
                <w:b/>
                <w:iCs/>
                <w:sz w:val="18"/>
                <w:szCs w:val="18"/>
              </w:rPr>
              <w:t xml:space="preserve">Examine </w:t>
            </w:r>
            <w:r w:rsidRPr="00FF1F38">
              <w:rPr>
                <w:iCs/>
                <w:sz w:val="18"/>
                <w:szCs w:val="18"/>
              </w:rPr>
              <w:t>security assessment</w:t>
            </w:r>
            <w:r>
              <w:rPr>
                <w:iCs/>
                <w:sz w:val="18"/>
                <w:szCs w:val="18"/>
              </w:rPr>
              <w:t xml:space="preserve"> and authorization policy,</w:t>
            </w:r>
            <w:r w:rsidR="0003330F">
              <w:rPr>
                <w:iCs/>
                <w:sz w:val="18"/>
                <w:szCs w:val="18"/>
              </w:rPr>
              <w:t xml:space="preserve"> </w:t>
            </w:r>
            <w:r w:rsidR="0038123A">
              <w:rPr>
                <w:iCs/>
                <w:sz w:val="18"/>
                <w:szCs w:val="18"/>
              </w:rPr>
              <w:t xml:space="preserve">security assessment plan, </w:t>
            </w:r>
            <w:r w:rsidR="0003330F">
              <w:rPr>
                <w:iCs/>
                <w:sz w:val="18"/>
                <w:szCs w:val="18"/>
              </w:rPr>
              <w:t>security plan,</w:t>
            </w:r>
            <w:r>
              <w:rPr>
                <w:iCs/>
                <w:sz w:val="18"/>
                <w:szCs w:val="18"/>
              </w:rPr>
              <w:t xml:space="preserve"> or other relevant documents</w:t>
            </w:r>
            <w:r w:rsidRPr="00FF1F38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0E3998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F1F38">
              <w:rPr>
                <w:iCs/>
                <w:sz w:val="18"/>
                <w:szCs w:val="18"/>
              </w:rPr>
              <w:t xml:space="preserve"> for authorizing official determination and/or approval of the independence criteria for the</w:t>
            </w:r>
            <w:r w:rsidR="00330064">
              <w:rPr>
                <w:iCs/>
                <w:sz w:val="18"/>
                <w:szCs w:val="18"/>
              </w:rPr>
              <w:t xml:space="preserve"> assessor or</w:t>
            </w:r>
            <w:r w:rsidRPr="00FF1F38">
              <w:rPr>
                <w:iCs/>
                <w:sz w:val="18"/>
                <w:szCs w:val="18"/>
              </w:rPr>
              <w:t xml:space="preserve"> </w:t>
            </w:r>
            <w:r w:rsidR="00330064">
              <w:rPr>
                <w:iCs/>
                <w:sz w:val="18"/>
                <w:szCs w:val="18"/>
              </w:rPr>
              <w:t>assessment</w:t>
            </w:r>
            <w:r w:rsidRPr="00FF1F38">
              <w:rPr>
                <w:iCs/>
                <w:sz w:val="18"/>
                <w:szCs w:val="18"/>
              </w:rPr>
              <w:t xml:space="preserve"> team</w:t>
            </w:r>
            <w:r w:rsidR="00E90812">
              <w:rPr>
                <w:iCs/>
                <w:sz w:val="18"/>
                <w:szCs w:val="18"/>
              </w:rPr>
              <w:t xml:space="preserve"> that assess</w:t>
            </w:r>
            <w:r w:rsidR="00950C87">
              <w:rPr>
                <w:iCs/>
                <w:sz w:val="18"/>
                <w:szCs w:val="18"/>
              </w:rPr>
              <w:t>es</w:t>
            </w:r>
            <w:r w:rsidR="00E90812">
              <w:rPr>
                <w:iCs/>
                <w:sz w:val="18"/>
                <w:szCs w:val="18"/>
              </w:rPr>
              <w:t xml:space="preserve"> the security control</w:t>
            </w:r>
            <w:r w:rsidR="00F67F60">
              <w:rPr>
                <w:iCs/>
                <w:sz w:val="18"/>
                <w:szCs w:val="18"/>
              </w:rPr>
              <w:t>s</w:t>
            </w:r>
            <w:r w:rsidR="00E90812">
              <w:rPr>
                <w:iCs/>
                <w:sz w:val="18"/>
                <w:szCs w:val="18"/>
              </w:rPr>
              <w:t xml:space="preserve"> in the information system</w:t>
            </w:r>
            <w:r w:rsidR="00330064"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5E0988" w:rsidRPr="005073C2" w:rsidTr="00F351C8">
        <w:trPr>
          <w:cantSplit/>
        </w:trPr>
        <w:tc>
          <w:tcPr>
            <w:tcW w:w="1530" w:type="dxa"/>
            <w:gridSpan w:val="2"/>
          </w:tcPr>
          <w:p w:rsidR="005E0988" w:rsidRPr="002F5405" w:rsidRDefault="00554841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CA-2(1)</w:t>
            </w:r>
            <w:r w:rsidR="00B21A5F" w:rsidRPr="00B21A5F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81523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B21A5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 w:rsidR="00720F53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5E0988" w:rsidRPr="005073C2" w:rsidRDefault="000E3998" w:rsidP="00BD1A51">
            <w:pPr>
              <w:autoSpaceDE w:val="0"/>
              <w:autoSpaceDN w:val="0"/>
              <w:adjustRightInd w:val="0"/>
              <w:rPr>
                <w:b/>
                <w:iCs/>
                <w:sz w:val="18"/>
                <w:szCs w:val="18"/>
              </w:rPr>
            </w:pPr>
            <w:r w:rsidRPr="00FF1F38">
              <w:rPr>
                <w:b/>
                <w:iCs/>
                <w:sz w:val="18"/>
                <w:szCs w:val="18"/>
              </w:rPr>
              <w:t xml:space="preserve">Examine </w:t>
            </w:r>
            <w:r w:rsidR="00330064">
              <w:rPr>
                <w:iCs/>
                <w:sz w:val="18"/>
                <w:szCs w:val="18"/>
              </w:rPr>
              <w:t>an agreed-upon [</w:t>
            </w:r>
            <w:r w:rsidR="00330064" w:rsidRPr="00330064">
              <w:rPr>
                <w:i/>
                <w:iCs/>
                <w:sz w:val="18"/>
                <w:szCs w:val="18"/>
              </w:rPr>
              <w:t>basic</w:t>
            </w:r>
            <w:r w:rsidR="00330064">
              <w:rPr>
                <w:iCs/>
                <w:sz w:val="18"/>
                <w:szCs w:val="18"/>
              </w:rPr>
              <w:t>]</w:t>
            </w:r>
            <w:r w:rsidRPr="00FF1F38">
              <w:rPr>
                <w:iCs/>
                <w:sz w:val="18"/>
                <w:szCs w:val="18"/>
              </w:rPr>
              <w:t xml:space="preserve"> sample of </w:t>
            </w:r>
            <w:r w:rsidR="00330064">
              <w:rPr>
                <w:iCs/>
                <w:sz w:val="18"/>
                <w:szCs w:val="18"/>
              </w:rPr>
              <w:t>security assessment reports or other relevant documents; [</w:t>
            </w:r>
            <w:r w:rsidR="00330064" w:rsidRPr="00330064">
              <w:rPr>
                <w:i/>
                <w:iCs/>
                <w:sz w:val="18"/>
                <w:szCs w:val="18"/>
              </w:rPr>
              <w:t>reviewing</w:t>
            </w:r>
            <w:r w:rsidR="00330064">
              <w:rPr>
                <w:iCs/>
                <w:sz w:val="18"/>
                <w:szCs w:val="18"/>
              </w:rPr>
              <w:t>]</w:t>
            </w:r>
            <w:r w:rsidR="00081523">
              <w:rPr>
                <w:iCs/>
                <w:sz w:val="18"/>
                <w:szCs w:val="18"/>
              </w:rPr>
              <w:t xml:space="preserve"> for evidence that the assessors</w:t>
            </w:r>
            <w:r w:rsidR="00330064">
              <w:rPr>
                <w:iCs/>
                <w:sz w:val="18"/>
                <w:szCs w:val="18"/>
              </w:rPr>
              <w:t xml:space="preserve"> meet the criteria for indepen</w:t>
            </w:r>
            <w:r w:rsidR="00554841">
              <w:rPr>
                <w:iCs/>
                <w:sz w:val="18"/>
                <w:szCs w:val="18"/>
              </w:rPr>
              <w:t>dence as documented in CA-2(1)</w:t>
            </w:r>
            <w:r w:rsidR="00720F53">
              <w:rPr>
                <w:iCs/>
                <w:sz w:val="18"/>
                <w:szCs w:val="18"/>
              </w:rPr>
              <w:t>.1</w:t>
            </w:r>
            <w:r w:rsidR="00330064">
              <w:rPr>
                <w:iCs/>
                <w:sz w:val="18"/>
                <w:szCs w:val="18"/>
              </w:rPr>
              <w:t xml:space="preserve">.1. </w:t>
            </w:r>
            <w:r w:rsidR="00081523">
              <w:rPr>
                <w:iCs/>
                <w:sz w:val="18"/>
                <w:szCs w:val="18"/>
              </w:rPr>
              <w:t>1.</w:t>
            </w:r>
            <w:r w:rsidRPr="00FF1F38"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DD739F" w:rsidRPr="005073C2" w:rsidTr="0000519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DB28B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3111F5" w:rsidTr="00005197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sz w:val="16"/>
                <w:szCs w:val="16"/>
              </w:rPr>
              <w:t xml:space="preserve">CA-2(2)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DD739F" w:rsidRPr="001D5075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SECURITY ASSESSMENTS</w:t>
            </w:r>
          </w:p>
        </w:tc>
      </w:tr>
      <w:tr w:rsidR="00DD739F" w:rsidRPr="005073C2" w:rsidTr="00005197">
        <w:trPr>
          <w:cantSplit/>
          <w:trHeight w:val="3244"/>
        </w:trPr>
        <w:tc>
          <w:tcPr>
            <w:tcW w:w="1530" w:type="dxa"/>
            <w:gridSpan w:val="2"/>
          </w:tcPr>
          <w:p w:rsidR="00DB28BD" w:rsidRDefault="00DB28BD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</w:p>
          <w:p w:rsidR="00DD739F" w:rsidRDefault="00DD739F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.1a</w:t>
            </w:r>
          </w:p>
          <w:p w:rsidR="00DD739F" w:rsidRDefault="00DD739F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739F" w:rsidRDefault="00DD739F" w:rsidP="00005197">
            <w:pPr>
              <w:spacing w:before="120" w:after="120" w:line="12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D739F" w:rsidRPr="001D5075" w:rsidRDefault="002B5BD1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 w:rsidR="00DD739F">
              <w:rPr>
                <w:rFonts w:ascii="Arial" w:hAnsi="Arial" w:cs="Arial"/>
                <w:b/>
                <w:iCs/>
                <w:sz w:val="16"/>
                <w:szCs w:val="16"/>
              </w:rPr>
              <w:t>.1b</w:t>
            </w:r>
          </w:p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.1c</w:t>
            </w:r>
          </w:p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DD739F" w:rsidRPr="001D5075" w:rsidRDefault="00DD739F" w:rsidP="00005197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if:</w:t>
            </w:r>
          </w:p>
          <w:p w:rsidR="00DD739F" w:rsidRDefault="00DD739F" w:rsidP="00DD739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i/>
                <w:iCs/>
                <w:sz w:val="20"/>
              </w:rPr>
              <w:t>the organization defines:</w:t>
            </w:r>
          </w:p>
          <w:p w:rsidR="00DD739F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EA065A">
              <w:rPr>
                <w:i/>
                <w:iCs/>
                <w:sz w:val="20"/>
              </w:rPr>
              <w:t xml:space="preserve">the forms of security testing </w:t>
            </w:r>
            <w:r>
              <w:rPr>
                <w:i/>
                <w:iCs/>
                <w:sz w:val="20"/>
              </w:rPr>
              <w:t>to be included in security control assessments, selecting from</w:t>
            </w:r>
            <w:r w:rsidRPr="00EA065A">
              <w:rPr>
                <w:i/>
                <w:iCs/>
                <w:sz w:val="20"/>
              </w:rPr>
              <w:t xml:space="preserve"> in-depth monitoring, malicious user testing, penetration testing, red team exercises</w:t>
            </w:r>
            <w:r>
              <w:rPr>
                <w:i/>
                <w:iCs/>
                <w:sz w:val="20"/>
              </w:rPr>
              <w:t>, or an organization-defined form of security testing;</w:t>
            </w:r>
          </w:p>
          <w:p w:rsidR="00DD739F" w:rsidRPr="00E2548F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EA065A">
              <w:rPr>
                <w:i/>
                <w:iCs/>
                <w:sz w:val="20"/>
              </w:rPr>
              <w:t>the frequency</w:t>
            </w:r>
            <w:r>
              <w:rPr>
                <w:i/>
                <w:iCs/>
                <w:sz w:val="20"/>
              </w:rPr>
              <w:t xml:space="preserve"> </w:t>
            </w:r>
            <w:r w:rsidRPr="00EA065A">
              <w:rPr>
                <w:i/>
                <w:iCs/>
                <w:sz w:val="20"/>
              </w:rPr>
              <w:t>for conducting each form of security testing;</w:t>
            </w:r>
          </w:p>
          <w:p w:rsidR="00DD739F" w:rsidRPr="00EA065A" w:rsidRDefault="00DD739F" w:rsidP="00DD739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>whether the security testing will be announced or unannounced;</w:t>
            </w:r>
            <w:r w:rsidRPr="00EA065A">
              <w:rPr>
                <w:i/>
                <w:iCs/>
                <w:sz w:val="20"/>
              </w:rPr>
              <w:t xml:space="preserve"> and</w:t>
            </w:r>
          </w:p>
          <w:p w:rsidR="00DD739F" w:rsidRPr="001D5075" w:rsidRDefault="00DD739F" w:rsidP="00DD739F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1D5075">
              <w:rPr>
                <w:i/>
                <w:iCs/>
                <w:sz w:val="20"/>
              </w:rPr>
              <w:t>the</w:t>
            </w:r>
            <w:proofErr w:type="gramEnd"/>
            <w:r w:rsidRPr="001D5075">
              <w:rPr>
                <w:i/>
                <w:iCs/>
                <w:sz w:val="20"/>
              </w:rPr>
              <w:t xml:space="preserve"> organization conducts </w:t>
            </w:r>
            <w:r>
              <w:rPr>
                <w:i/>
                <w:iCs/>
                <w:sz w:val="20"/>
              </w:rPr>
              <w:t xml:space="preserve">security </w:t>
            </w:r>
            <w:r w:rsidRPr="001D5075">
              <w:rPr>
                <w:i/>
                <w:iCs/>
                <w:sz w:val="20"/>
              </w:rPr>
              <w:t>control assessments</w:t>
            </w:r>
            <w:r>
              <w:rPr>
                <w:i/>
                <w:iCs/>
                <w:sz w:val="20"/>
              </w:rPr>
              <w:t xml:space="preserve"> using</w:t>
            </w:r>
            <w:r w:rsidRPr="001D5075">
              <w:rPr>
                <w:i/>
                <w:iCs/>
                <w:sz w:val="20"/>
              </w:rPr>
              <w:t xml:space="preserve"> organization-defined forms of testing in accordance with organization-defined frequency and assessment techniques established for each form of testing.</w:t>
            </w:r>
          </w:p>
          <w:p w:rsidR="00DD739F" w:rsidRPr="00F5776F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F5776F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DD739F" w:rsidRDefault="00DD739F" w:rsidP="00005197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877A4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Security assessment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and authorization 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>policy; procedures addressing security assessments; security plan</w:t>
            </w:r>
            <w:r w:rsidRPr="00877A4E">
              <w:rPr>
                <w:rFonts w:ascii="Arial" w:hAnsi="Arial" w:cs="Arial"/>
                <w:iCs/>
                <w:sz w:val="16"/>
                <w:szCs w:val="16"/>
              </w:rPr>
              <w:t>; security assessment plan; security assessment report; assessment evidence; other relevant documents or records].</w:t>
            </w:r>
          </w:p>
          <w:p w:rsidR="00DD739F" w:rsidRPr="001D5075" w:rsidRDefault="00DD739F" w:rsidP="00005197">
            <w:pPr>
              <w:spacing w:before="60" w:after="120"/>
              <w:ind w:left="749" w:hanging="749"/>
              <w:rPr>
                <w:rFonts w:ascii="Arial Narrow" w:hAnsi="Arial Narrow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34271">
              <w:rPr>
                <w:rFonts w:ascii="Arial" w:hAnsi="Arial" w:cs="Arial"/>
                <w:iCs/>
                <w:sz w:val="16"/>
                <w:szCs w:val="16"/>
              </w:rPr>
              <w:t>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[</w:t>
            </w:r>
            <w:r w:rsidRPr="00877A4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877A4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Organizational personnel with security assessment 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3C553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D4A58" w:rsidRDefault="00DD739F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EA3E0E">
              <w:rPr>
                <w:rFonts w:ascii="Arial" w:hAnsi="Arial" w:cs="Arial"/>
                <w:iCs/>
                <w:smallCaps/>
                <w:sz w:val="16"/>
                <w:szCs w:val="16"/>
              </w:rPr>
              <w:t>CA-6, CA-7,</w:t>
            </w:r>
            <w:r w:rsidR="003D4A58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 </w:t>
            </w:r>
            <w:r w:rsidR="00DC2C03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 xml:space="preserve">CM-4, PM-10, RA-3, RA-5, </w:t>
            </w:r>
            <w:r w:rsidR="003D4A58" w:rsidRPr="00FE561F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SA-11</w:t>
            </w:r>
            <w:r w:rsidR="00DC2C03">
              <w:rPr>
                <w:rFonts w:ascii="Arial" w:hAnsi="Arial" w:cs="Arial"/>
                <w:bCs/>
                <w:iCs/>
                <w:smallCaps/>
                <w:sz w:val="16"/>
                <w:szCs w:val="16"/>
              </w:rPr>
              <w:t>, SI-2</w:t>
            </w:r>
          </w:p>
          <w:p w:rsidR="00DD739F" w:rsidRPr="002F5405" w:rsidRDefault="00DD739F" w:rsidP="00EA523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 w:rsidR="00EA523F">
              <w:rPr>
                <w:rFonts w:ascii="Arial" w:hAnsi="Arial" w:cs="Arial"/>
                <w:iCs/>
                <w:smallCaps/>
                <w:sz w:val="16"/>
                <w:szCs w:val="16"/>
              </w:rPr>
              <w:t>CA-5</w:t>
            </w:r>
            <w:r w:rsidR="00DC2C03">
              <w:rPr>
                <w:rFonts w:ascii="Arial" w:hAnsi="Arial" w:cs="Arial"/>
                <w:iCs/>
                <w:smallCaps/>
                <w:sz w:val="16"/>
                <w:szCs w:val="16"/>
              </w:rPr>
              <w:t>, PM-4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DB28B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</w:tcPr>
          <w:p w:rsidR="007E410F" w:rsidRDefault="007E410F" w:rsidP="007E410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7E410F" w:rsidRDefault="007E410F" w:rsidP="007E410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  <w:t>CA-2(2).1.1.1.a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DD739F" w:rsidRPr="007E410F" w:rsidRDefault="007E410F" w:rsidP="007E410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DD739F" w:rsidRDefault="00363002" w:rsidP="007E410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>Examine</w:t>
            </w:r>
            <w:r>
              <w:rPr>
                <w:iCs/>
                <w:sz w:val="18"/>
                <w:szCs w:val="18"/>
              </w:rPr>
              <w:t xml:space="preserve"> security assessment and authorization policy</w:t>
            </w:r>
            <w:r w:rsidR="00330064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procedures addressing security assessments</w:t>
            </w:r>
            <w:r w:rsidR="002B5BD1">
              <w:rPr>
                <w:iCs/>
                <w:sz w:val="18"/>
                <w:szCs w:val="18"/>
              </w:rPr>
              <w:t>,</w:t>
            </w:r>
            <w:r w:rsidR="00330064">
              <w:rPr>
                <w:iCs/>
                <w:sz w:val="18"/>
                <w:szCs w:val="18"/>
              </w:rPr>
              <w:t xml:space="preserve"> </w:t>
            </w:r>
            <w:r w:rsidR="00DC2C03">
              <w:rPr>
                <w:iCs/>
                <w:sz w:val="18"/>
                <w:szCs w:val="18"/>
              </w:rPr>
              <w:t xml:space="preserve">security plan, </w:t>
            </w:r>
            <w:r w:rsidR="00330064">
              <w:rPr>
                <w:iCs/>
                <w:sz w:val="18"/>
                <w:szCs w:val="18"/>
              </w:rPr>
              <w:t>or other relevant documents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FE561F">
              <w:rPr>
                <w:iCs/>
                <w:sz w:val="18"/>
                <w:szCs w:val="18"/>
              </w:rPr>
              <w:t xml:space="preserve"> for</w:t>
            </w:r>
            <w:r w:rsidR="007E410F">
              <w:rPr>
                <w:iCs/>
                <w:sz w:val="18"/>
                <w:szCs w:val="18"/>
              </w:rPr>
              <w:t>:</w:t>
            </w:r>
          </w:p>
          <w:p w:rsidR="007E410F" w:rsidRPr="007E410F" w:rsidRDefault="007E410F" w:rsidP="007E410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E410F">
              <w:rPr>
                <w:iCs/>
                <w:sz w:val="18"/>
                <w:szCs w:val="18"/>
              </w:rPr>
              <w:t>the forms of security testing to be included in security control assessments, selecting from in-depth monitoring, malicious user testing, penetration testing, red team exercises, or an organization-defined form of security testing;</w:t>
            </w:r>
          </w:p>
          <w:p w:rsidR="007E410F" w:rsidRPr="007E410F" w:rsidRDefault="007E410F" w:rsidP="007E410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E410F">
              <w:rPr>
                <w:iCs/>
                <w:sz w:val="18"/>
                <w:szCs w:val="18"/>
              </w:rPr>
              <w:t>the frequency for conducting each form of security testing;</w:t>
            </w:r>
            <w:r w:rsidR="00CE5991">
              <w:rPr>
                <w:iCs/>
                <w:sz w:val="18"/>
                <w:szCs w:val="18"/>
              </w:rPr>
              <w:t xml:space="preserve"> and</w:t>
            </w:r>
          </w:p>
          <w:p w:rsidR="007E410F" w:rsidRPr="007E410F" w:rsidRDefault="007E410F" w:rsidP="007E410F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7E410F">
              <w:rPr>
                <w:iCs/>
                <w:sz w:val="18"/>
                <w:szCs w:val="18"/>
              </w:rPr>
              <w:t>whether the security testing will be announced or unannounced;</w:t>
            </w:r>
          </w:p>
        </w:tc>
      </w:tr>
      <w:tr w:rsidR="00DB28BD" w:rsidRPr="005073C2" w:rsidTr="00DB28BD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DB28BD" w:rsidRDefault="00DB28BD" w:rsidP="003B25F6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DB28BD" w:rsidRPr="008D7BED" w:rsidRDefault="00DB28BD" w:rsidP="003B25F6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DD739F" w:rsidRPr="00190558" w:rsidRDefault="00190558" w:rsidP="00190558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CA-2(2).1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190558" w:rsidP="00190558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FE561F">
              <w:rPr>
                <w:b/>
                <w:iCs/>
                <w:sz w:val="18"/>
                <w:szCs w:val="18"/>
              </w:rPr>
              <w:t xml:space="preserve">Examine </w:t>
            </w:r>
            <w:r w:rsidR="003E41C6">
              <w:rPr>
                <w:iCs/>
                <w:sz w:val="18"/>
                <w:szCs w:val="18"/>
              </w:rPr>
              <w:t>an agreed-</w:t>
            </w:r>
            <w:r>
              <w:rPr>
                <w:iCs/>
                <w:sz w:val="18"/>
                <w:szCs w:val="18"/>
              </w:rPr>
              <w:t>upon [</w:t>
            </w:r>
            <w:r w:rsidRPr="003E41C6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</w:t>
            </w:r>
            <w:r w:rsidRPr="00FE561F">
              <w:rPr>
                <w:iCs/>
                <w:sz w:val="18"/>
                <w:szCs w:val="18"/>
              </w:rPr>
              <w:t xml:space="preserve"> security assessment report</w:t>
            </w:r>
            <w:r>
              <w:rPr>
                <w:iCs/>
                <w:sz w:val="18"/>
                <w:szCs w:val="18"/>
              </w:rPr>
              <w:t>s</w:t>
            </w:r>
            <w:r w:rsidRPr="00FE561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E56C34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</w:t>
            </w:r>
            <w:r w:rsidRPr="00FE561F">
              <w:rPr>
                <w:iCs/>
                <w:sz w:val="18"/>
                <w:szCs w:val="18"/>
              </w:rPr>
              <w:t xml:space="preserve"> that </w:t>
            </w:r>
            <w:r>
              <w:rPr>
                <w:iCs/>
                <w:sz w:val="18"/>
                <w:szCs w:val="18"/>
              </w:rPr>
              <w:t>security control assessments are conducted in accordance with the frequency identified in CA-2(2).1</w:t>
            </w:r>
            <w:r w:rsidR="007E410F">
              <w:rPr>
                <w:iCs/>
                <w:sz w:val="18"/>
                <w:szCs w:val="18"/>
              </w:rPr>
              <w:t>.1.1.b</w:t>
            </w:r>
            <w:r>
              <w:rPr>
                <w:iCs/>
                <w:sz w:val="18"/>
                <w:szCs w:val="18"/>
              </w:rPr>
              <w:t xml:space="preserve"> and assessment techniques established for each form of testing identified in CA-2(2).1</w:t>
            </w:r>
            <w:r w:rsidR="007E410F">
              <w:rPr>
                <w:iCs/>
                <w:sz w:val="18"/>
                <w:szCs w:val="18"/>
              </w:rPr>
              <w:t>.1.1.a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8F5" w:rsidRDefault="00BB58F5" w:rsidP="00F351C8">
      <w:r>
        <w:separator/>
      </w:r>
    </w:p>
  </w:endnote>
  <w:endnote w:type="continuationSeparator" w:id="0">
    <w:p w:rsidR="00BB58F5" w:rsidRDefault="00BB58F5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7906399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DB28BD" w:rsidRPr="00DB28BD" w:rsidRDefault="00DB28BD">
            <w:pPr>
              <w:pStyle w:val="Footer"/>
              <w:jc w:val="center"/>
              <w:rPr>
                <w:sz w:val="20"/>
                <w:szCs w:val="20"/>
              </w:rPr>
            </w:pPr>
            <w:r w:rsidRPr="00DB28BD">
              <w:rPr>
                <w:sz w:val="20"/>
                <w:szCs w:val="20"/>
              </w:rPr>
              <w:t>Initial Public Draft</w:t>
            </w:r>
          </w:p>
          <w:p w:rsidR="00DB28BD" w:rsidRPr="00DB28BD" w:rsidRDefault="00DB28BD">
            <w:pPr>
              <w:pStyle w:val="Footer"/>
              <w:jc w:val="center"/>
              <w:rPr>
                <w:sz w:val="20"/>
                <w:szCs w:val="20"/>
              </w:rPr>
            </w:pPr>
            <w:r w:rsidRPr="00DB28BD">
              <w:rPr>
                <w:sz w:val="20"/>
                <w:szCs w:val="20"/>
              </w:rPr>
              <w:t xml:space="preserve">Page </w:t>
            </w:r>
            <w:r w:rsidR="00FD1CEA" w:rsidRPr="00DB28BD">
              <w:rPr>
                <w:b/>
                <w:sz w:val="20"/>
                <w:szCs w:val="20"/>
              </w:rPr>
              <w:fldChar w:fldCharType="begin"/>
            </w:r>
            <w:r w:rsidRPr="00DB28BD">
              <w:rPr>
                <w:b/>
                <w:sz w:val="20"/>
                <w:szCs w:val="20"/>
              </w:rPr>
              <w:instrText xml:space="preserve"> PAGE </w:instrText>
            </w:r>
            <w:r w:rsidR="00FD1CEA" w:rsidRPr="00DB28BD">
              <w:rPr>
                <w:b/>
                <w:sz w:val="20"/>
                <w:szCs w:val="20"/>
              </w:rPr>
              <w:fldChar w:fldCharType="separate"/>
            </w:r>
            <w:r w:rsidR="00720F53">
              <w:rPr>
                <w:b/>
                <w:noProof/>
                <w:sz w:val="20"/>
                <w:szCs w:val="20"/>
              </w:rPr>
              <w:t>2</w:t>
            </w:r>
            <w:r w:rsidR="00FD1CEA" w:rsidRPr="00DB28BD">
              <w:rPr>
                <w:b/>
                <w:sz w:val="20"/>
                <w:szCs w:val="20"/>
              </w:rPr>
              <w:fldChar w:fldCharType="end"/>
            </w:r>
            <w:r w:rsidRPr="00DB28BD">
              <w:rPr>
                <w:sz w:val="20"/>
                <w:szCs w:val="20"/>
              </w:rPr>
              <w:t xml:space="preserve"> of </w:t>
            </w:r>
            <w:r w:rsidR="00FD1CEA" w:rsidRPr="00DB28BD">
              <w:rPr>
                <w:b/>
                <w:sz w:val="20"/>
                <w:szCs w:val="20"/>
              </w:rPr>
              <w:fldChar w:fldCharType="begin"/>
            </w:r>
            <w:r w:rsidRPr="00DB28BD">
              <w:rPr>
                <w:b/>
                <w:sz w:val="20"/>
                <w:szCs w:val="20"/>
              </w:rPr>
              <w:instrText xml:space="preserve"> NUMPAGES  </w:instrText>
            </w:r>
            <w:r w:rsidR="00FD1CEA" w:rsidRPr="00DB28BD">
              <w:rPr>
                <w:b/>
                <w:sz w:val="20"/>
                <w:szCs w:val="20"/>
              </w:rPr>
              <w:fldChar w:fldCharType="separate"/>
            </w:r>
            <w:r w:rsidR="00720F53">
              <w:rPr>
                <w:b/>
                <w:noProof/>
                <w:sz w:val="20"/>
                <w:szCs w:val="20"/>
              </w:rPr>
              <w:t>4</w:t>
            </w:r>
            <w:r w:rsidR="00FD1CEA" w:rsidRPr="00DB28BD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DB28BD" w:rsidRDefault="00DB28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8F5" w:rsidRDefault="00BB58F5" w:rsidP="00F351C8">
      <w:r>
        <w:separator/>
      </w:r>
    </w:p>
  </w:footnote>
  <w:footnote w:type="continuationSeparator" w:id="0">
    <w:p w:rsidR="00BB58F5" w:rsidRDefault="00BB58F5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8BD" w:rsidRPr="00DB28BD" w:rsidRDefault="00DB28BD">
    <w:pPr>
      <w:pStyle w:val="Header"/>
      <w:rPr>
        <w:sz w:val="20"/>
        <w:szCs w:val="20"/>
      </w:rPr>
    </w:pPr>
    <w:r w:rsidRPr="00DB28BD">
      <w:rPr>
        <w:sz w:val="20"/>
        <w:szCs w:val="20"/>
      </w:rPr>
      <w:t>Assessment Case:  CA-2 Security Assessments</w:t>
    </w:r>
  </w:p>
  <w:p w:rsidR="00DB28BD" w:rsidRDefault="00DB28B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330F"/>
    <w:rsid w:val="00081523"/>
    <w:rsid w:val="000977D8"/>
    <w:rsid w:val="000B6E52"/>
    <w:rsid w:val="000E3998"/>
    <w:rsid w:val="00127B11"/>
    <w:rsid w:val="00135460"/>
    <w:rsid w:val="00135A12"/>
    <w:rsid w:val="00135B66"/>
    <w:rsid w:val="00142455"/>
    <w:rsid w:val="00183BD7"/>
    <w:rsid w:val="00190558"/>
    <w:rsid w:val="001C0613"/>
    <w:rsid w:val="001C3BD4"/>
    <w:rsid w:val="001D18B5"/>
    <w:rsid w:val="001D49AD"/>
    <w:rsid w:val="002B5BD1"/>
    <w:rsid w:val="002E7743"/>
    <w:rsid w:val="002F5405"/>
    <w:rsid w:val="002F5D88"/>
    <w:rsid w:val="002F6E98"/>
    <w:rsid w:val="003111F5"/>
    <w:rsid w:val="00330064"/>
    <w:rsid w:val="0034225B"/>
    <w:rsid w:val="00363002"/>
    <w:rsid w:val="0038123A"/>
    <w:rsid w:val="003A2A87"/>
    <w:rsid w:val="003B3412"/>
    <w:rsid w:val="003C2FF9"/>
    <w:rsid w:val="003C553D"/>
    <w:rsid w:val="003D4A58"/>
    <w:rsid w:val="003E41C6"/>
    <w:rsid w:val="003F78AE"/>
    <w:rsid w:val="004220EF"/>
    <w:rsid w:val="004569C2"/>
    <w:rsid w:val="00457EB6"/>
    <w:rsid w:val="00477169"/>
    <w:rsid w:val="004C294D"/>
    <w:rsid w:val="004F3F80"/>
    <w:rsid w:val="00531A1C"/>
    <w:rsid w:val="00554841"/>
    <w:rsid w:val="0055491C"/>
    <w:rsid w:val="005A0F29"/>
    <w:rsid w:val="005E0988"/>
    <w:rsid w:val="005F3972"/>
    <w:rsid w:val="005F621E"/>
    <w:rsid w:val="0061395E"/>
    <w:rsid w:val="00623080"/>
    <w:rsid w:val="0062605C"/>
    <w:rsid w:val="0065175E"/>
    <w:rsid w:val="00660B62"/>
    <w:rsid w:val="006B03C5"/>
    <w:rsid w:val="006E36E2"/>
    <w:rsid w:val="006F3A36"/>
    <w:rsid w:val="00707F6C"/>
    <w:rsid w:val="007134C8"/>
    <w:rsid w:val="00720F53"/>
    <w:rsid w:val="0072262F"/>
    <w:rsid w:val="00743F5F"/>
    <w:rsid w:val="007717AA"/>
    <w:rsid w:val="00790087"/>
    <w:rsid w:val="007C4769"/>
    <w:rsid w:val="007D39C7"/>
    <w:rsid w:val="007D6026"/>
    <w:rsid w:val="007E410F"/>
    <w:rsid w:val="0081301E"/>
    <w:rsid w:val="00854526"/>
    <w:rsid w:val="00870562"/>
    <w:rsid w:val="00875976"/>
    <w:rsid w:val="00886C26"/>
    <w:rsid w:val="008C3AB6"/>
    <w:rsid w:val="008E5682"/>
    <w:rsid w:val="008F10FE"/>
    <w:rsid w:val="008F50F1"/>
    <w:rsid w:val="0090147C"/>
    <w:rsid w:val="0090735A"/>
    <w:rsid w:val="009159A0"/>
    <w:rsid w:val="00920EAA"/>
    <w:rsid w:val="00921780"/>
    <w:rsid w:val="00927DC8"/>
    <w:rsid w:val="00950C87"/>
    <w:rsid w:val="00962990"/>
    <w:rsid w:val="00986F1E"/>
    <w:rsid w:val="009B565D"/>
    <w:rsid w:val="009C3912"/>
    <w:rsid w:val="009D1DC1"/>
    <w:rsid w:val="00A45573"/>
    <w:rsid w:val="00A81FC4"/>
    <w:rsid w:val="00AA530A"/>
    <w:rsid w:val="00AB3BE0"/>
    <w:rsid w:val="00AD39CE"/>
    <w:rsid w:val="00AD46A5"/>
    <w:rsid w:val="00B0248A"/>
    <w:rsid w:val="00B21A5F"/>
    <w:rsid w:val="00B576E5"/>
    <w:rsid w:val="00B6655E"/>
    <w:rsid w:val="00B94162"/>
    <w:rsid w:val="00BB37B9"/>
    <w:rsid w:val="00BB58F5"/>
    <w:rsid w:val="00BD1A51"/>
    <w:rsid w:val="00BE0A45"/>
    <w:rsid w:val="00C26D2E"/>
    <w:rsid w:val="00C57932"/>
    <w:rsid w:val="00C70011"/>
    <w:rsid w:val="00C72F37"/>
    <w:rsid w:val="00CC57FE"/>
    <w:rsid w:val="00CE5991"/>
    <w:rsid w:val="00D40A5F"/>
    <w:rsid w:val="00D766E9"/>
    <w:rsid w:val="00D95C5D"/>
    <w:rsid w:val="00DB28BD"/>
    <w:rsid w:val="00DB47D1"/>
    <w:rsid w:val="00DC2C03"/>
    <w:rsid w:val="00DD739F"/>
    <w:rsid w:val="00E1793B"/>
    <w:rsid w:val="00E2055B"/>
    <w:rsid w:val="00E22AC1"/>
    <w:rsid w:val="00E52B4A"/>
    <w:rsid w:val="00E56C34"/>
    <w:rsid w:val="00E65FF3"/>
    <w:rsid w:val="00E90812"/>
    <w:rsid w:val="00EA3E0E"/>
    <w:rsid w:val="00EA523F"/>
    <w:rsid w:val="00EB2030"/>
    <w:rsid w:val="00EC7512"/>
    <w:rsid w:val="00F15739"/>
    <w:rsid w:val="00F31535"/>
    <w:rsid w:val="00F351C8"/>
    <w:rsid w:val="00F5256A"/>
    <w:rsid w:val="00F630C0"/>
    <w:rsid w:val="00F64FE2"/>
    <w:rsid w:val="00F67F60"/>
    <w:rsid w:val="00F84FBC"/>
    <w:rsid w:val="00FA55AF"/>
    <w:rsid w:val="00FD1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2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24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245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4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455"/>
    <w:rPr>
      <w:rFonts w:ascii="Tahoma" w:eastAsia="Times New Roman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A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A5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10629-D0F3-4477-97A8-897F9A35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16</cp:revision>
  <cp:lastPrinted>2011-01-04T02:19:00Z</cp:lastPrinted>
  <dcterms:created xsi:type="dcterms:W3CDTF">2011-04-20T13:50:00Z</dcterms:created>
  <dcterms:modified xsi:type="dcterms:W3CDTF">2011-11-07T19:12:00Z</dcterms:modified>
</cp:coreProperties>
</file>