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F53FB7" w:rsidRPr="00D54FC9" w:rsidTr="007D39C7">
        <w:trPr>
          <w:trHeight w:val="323"/>
          <w:tblHeader/>
        </w:trPr>
        <w:tc>
          <w:tcPr>
            <w:tcW w:w="8640" w:type="dxa"/>
            <w:gridSpan w:val="3"/>
            <w:shd w:val="clear" w:color="auto" w:fill="A6A6A6"/>
          </w:tcPr>
          <w:p w:rsidR="00F53FB7" w:rsidRPr="00D54FC9" w:rsidRDefault="00F53FB7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F53FB7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/>
          </w:tcPr>
          <w:p w:rsidR="00F53FB7" w:rsidRPr="0055491C" w:rsidRDefault="00F53FB7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>, Part 1 of 1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F53FB7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/>
          </w:tcPr>
          <w:p w:rsidR="00F53FB7" w:rsidRPr="005073C2" w:rsidRDefault="00F53FB7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C12FC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3FB7" w:rsidRPr="00D54FC9" w:rsidTr="00F15739">
        <w:trPr>
          <w:cantSplit/>
        </w:trPr>
        <w:tc>
          <w:tcPr>
            <w:tcW w:w="1166" w:type="dxa"/>
            <w:shd w:val="clear" w:color="auto" w:fill="A6A6A6"/>
          </w:tcPr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CA-5     </w:t>
            </w:r>
          </w:p>
        </w:tc>
        <w:tc>
          <w:tcPr>
            <w:tcW w:w="7474" w:type="dxa"/>
            <w:gridSpan w:val="2"/>
            <w:shd w:val="clear" w:color="auto" w:fill="A6A6A6"/>
          </w:tcPr>
          <w:p w:rsidR="00F53FB7" w:rsidRPr="001D5075" w:rsidRDefault="00F53FB7" w:rsidP="001C20E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PLAN OF ACTION AND MILESTONES</w:t>
            </w:r>
          </w:p>
        </w:tc>
      </w:tr>
      <w:tr w:rsidR="00F53FB7" w:rsidRPr="00D54FC9" w:rsidTr="00F351C8">
        <w:trPr>
          <w:cantSplit/>
        </w:trPr>
        <w:tc>
          <w:tcPr>
            <w:tcW w:w="1166" w:type="dxa"/>
          </w:tcPr>
          <w:p w:rsidR="00C12FC0" w:rsidRDefault="00C12FC0" w:rsidP="0059480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94803" w:rsidRDefault="00594803" w:rsidP="0059480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3FB7" w:rsidRDefault="00F53FB7" w:rsidP="001C20ED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53FB7" w:rsidRDefault="00F53FB7" w:rsidP="001C20ED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3FB7" w:rsidRDefault="00F53FB7" w:rsidP="001C20ED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53FB7" w:rsidRDefault="00F53FB7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F53FB7" w:rsidRDefault="00F53FB7" w:rsidP="001C20ED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3FB7" w:rsidRDefault="00F53FB7" w:rsidP="001C20ED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.4a</w:t>
            </w:r>
          </w:p>
          <w:p w:rsidR="00F53FB7" w:rsidRDefault="00F53FB7" w:rsidP="001C20ED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.4b</w:t>
            </w:r>
          </w:p>
          <w:p w:rsidR="00F53FB7" w:rsidRDefault="00F53FB7" w:rsidP="001C20ED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.4c</w:t>
            </w: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F53FB7" w:rsidRPr="001D5075" w:rsidRDefault="00F53FB7" w:rsidP="001C20E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3FB7" w:rsidRPr="001D5075" w:rsidRDefault="00F53FB7" w:rsidP="001C20E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F53FB7" w:rsidRPr="001D5075" w:rsidRDefault="00F53FB7" w:rsidP="000E331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develops a plan of action and milestones for the information system;</w:t>
            </w:r>
          </w:p>
          <w:p w:rsidR="00F53FB7" w:rsidRDefault="00F53FB7" w:rsidP="000E331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iCs/>
                <w:sz w:val="20"/>
              </w:rPr>
              <w:t>the plan of action and milestones documents the organization’s planned</w:t>
            </w:r>
            <w:r w:rsidRPr="001D5075">
              <w:rPr>
                <w:i/>
                <w:iCs/>
                <w:sz w:val="20"/>
                <w:szCs w:val="20"/>
              </w:rPr>
              <w:t xml:space="preserve"> remedial actions to correct weaknesses or deficiencies noted during the assessment of the security controls and to reduce or eliminate known vulnerabilities in the system;</w:t>
            </w:r>
          </w:p>
          <w:p w:rsidR="00F53FB7" w:rsidRDefault="00F53FB7" w:rsidP="000E331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sz w:val="20"/>
                <w:szCs w:val="20"/>
              </w:rPr>
              <w:t>the organization defines the frequency of plan of action and milestone updates; and</w:t>
            </w:r>
          </w:p>
          <w:p w:rsidR="00F53FB7" w:rsidRDefault="00F53FB7" w:rsidP="000E331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D5075">
              <w:rPr>
                <w:i/>
                <w:iCs/>
                <w:sz w:val="20"/>
              </w:rPr>
              <w:t>the organization updates the plan of action and milestones at an organization-defined frequency with findings from</w:t>
            </w:r>
            <w:r>
              <w:rPr>
                <w:i/>
                <w:iCs/>
                <w:sz w:val="20"/>
              </w:rPr>
              <w:t>:</w:t>
            </w:r>
          </w:p>
          <w:p w:rsidR="00F53FB7" w:rsidRPr="00EA065A" w:rsidRDefault="00F53FB7" w:rsidP="000E331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security controls assessments;</w:t>
            </w:r>
          </w:p>
          <w:p w:rsidR="00F53FB7" w:rsidRPr="00EA065A" w:rsidRDefault="00F53FB7" w:rsidP="000E331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EA065A">
              <w:rPr>
                <w:i/>
                <w:iCs/>
                <w:sz w:val="20"/>
              </w:rPr>
              <w:t>security impact analyse</w:t>
            </w:r>
            <w:r>
              <w:rPr>
                <w:i/>
                <w:iCs/>
                <w:sz w:val="20"/>
              </w:rPr>
              <w:t>s; and</w:t>
            </w:r>
          </w:p>
          <w:p w:rsidR="00F53FB7" w:rsidRPr="00EA065A" w:rsidRDefault="00F53FB7" w:rsidP="000E331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/>
                <w:sz w:val="20"/>
                <w:szCs w:val="20"/>
              </w:rPr>
            </w:pPr>
            <w:proofErr w:type="gramStart"/>
            <w:r w:rsidRPr="00EA065A">
              <w:rPr>
                <w:i/>
                <w:iCs/>
                <w:sz w:val="20"/>
              </w:rPr>
              <w:t>continuous</w:t>
            </w:r>
            <w:proofErr w:type="gramEnd"/>
            <w:r w:rsidRPr="00EA065A">
              <w:rPr>
                <w:i/>
                <w:iCs/>
                <w:sz w:val="20"/>
              </w:rPr>
              <w:t xml:space="preserve"> monitoring activities.</w:t>
            </w:r>
          </w:p>
          <w:p w:rsidR="00F53FB7" w:rsidRPr="00BD5D44" w:rsidRDefault="00F53FB7" w:rsidP="001C20E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D5D4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3FB7" w:rsidRPr="00BD5D44" w:rsidRDefault="00F53FB7" w:rsidP="001C20ED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D5D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D5D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plan of action and milestones; security plan</w:t>
            </w:r>
            <w:r w:rsidRPr="00BD5D44">
              <w:rPr>
                <w:rFonts w:ascii="Arial" w:hAnsi="Arial" w:cs="Arial"/>
                <w:iCs/>
                <w:sz w:val="16"/>
                <w:szCs w:val="16"/>
              </w:rPr>
              <w:t>; security assessment plan; security assessment report; assessment evidence; plan of action and milestones; other relevant documents or records].</w:t>
            </w:r>
          </w:p>
          <w:p w:rsidR="00F53FB7" w:rsidRPr="001D5075" w:rsidRDefault="00F53FB7" w:rsidP="001C20ED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BD5D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D5D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plan of action and milestones development and implementation responsibilities].</w:t>
            </w:r>
          </w:p>
        </w:tc>
      </w:tr>
      <w:tr w:rsidR="00F53FB7" w:rsidRPr="005073C2" w:rsidTr="00F351C8">
        <w:trPr>
          <w:cantSplit/>
        </w:trPr>
        <w:tc>
          <w:tcPr>
            <w:tcW w:w="8640" w:type="dxa"/>
            <w:gridSpan w:val="3"/>
          </w:tcPr>
          <w:p w:rsidR="00F53FB7" w:rsidRPr="005073C2" w:rsidRDefault="00F53FB7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53FB7" w:rsidRPr="005073C2" w:rsidTr="007D39C7">
        <w:trPr>
          <w:cantSplit/>
        </w:trPr>
        <w:tc>
          <w:tcPr>
            <w:tcW w:w="1530" w:type="dxa"/>
            <w:gridSpan w:val="2"/>
            <w:shd w:val="clear" w:color="auto" w:fill="D9D9D9"/>
          </w:tcPr>
          <w:p w:rsidR="00F53FB7" w:rsidRPr="005073C2" w:rsidRDefault="00F53FB7" w:rsidP="00005197">
            <w:r>
              <w:t xml:space="preserve"> </w:t>
            </w:r>
          </w:p>
        </w:tc>
        <w:tc>
          <w:tcPr>
            <w:tcW w:w="7110" w:type="dxa"/>
          </w:tcPr>
          <w:p w:rsidR="00F53FB7" w:rsidRPr="005073C2" w:rsidRDefault="00F53FB7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53FB7" w:rsidRPr="005073C2" w:rsidRDefault="00F53FB7" w:rsidP="00C84F6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94A21">
              <w:rPr>
                <w:rFonts w:ascii="Arial" w:hAnsi="Arial" w:cs="Arial"/>
                <w:iCs/>
                <w:smallCaps/>
                <w:sz w:val="16"/>
                <w:szCs w:val="16"/>
              </w:rPr>
              <w:t>CA-2, CA-7</w:t>
            </w:r>
            <w:r w:rsidR="00C84F6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CM-4, RA-3, RA-5, </w:t>
            </w:r>
            <w:r w:rsidR="00C84F6D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SA-11</w:t>
            </w:r>
            <w:r w:rsidR="00C84F6D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 SI-2</w:t>
            </w:r>
          </w:p>
          <w:p w:rsidR="00F53FB7" w:rsidRDefault="00F53FB7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84F6D">
              <w:rPr>
                <w:rFonts w:ascii="Arial" w:hAnsi="Arial" w:cs="Arial"/>
                <w:iCs/>
                <w:smallCaps/>
                <w:sz w:val="16"/>
                <w:szCs w:val="16"/>
              </w:rPr>
              <w:t>PM-4</w:t>
            </w:r>
          </w:p>
          <w:p w:rsidR="00F53FB7" w:rsidRPr="005073C2" w:rsidRDefault="00F53FB7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94A21">
              <w:rPr>
                <w:rFonts w:ascii="Arial" w:hAnsi="Arial" w:cs="Arial"/>
                <w:iCs/>
                <w:smallCaps/>
                <w:sz w:val="16"/>
                <w:szCs w:val="16"/>
              </w:rPr>
              <w:t>CA-6</w:t>
            </w:r>
            <w:r w:rsidR="00C84F6D">
              <w:rPr>
                <w:rFonts w:ascii="Arial" w:hAnsi="Arial" w:cs="Arial"/>
                <w:iCs/>
                <w:smallCaps/>
                <w:sz w:val="16"/>
                <w:szCs w:val="16"/>
              </w:rPr>
              <w:t>, PM-10</w:t>
            </w:r>
          </w:p>
        </w:tc>
      </w:tr>
      <w:tr w:rsidR="00F53FB7" w:rsidRPr="005073C2" w:rsidTr="007D39C7">
        <w:trPr>
          <w:cantSplit/>
        </w:trPr>
        <w:tc>
          <w:tcPr>
            <w:tcW w:w="1530" w:type="dxa"/>
            <w:gridSpan w:val="2"/>
            <w:shd w:val="clear" w:color="auto" w:fill="F2F2F2"/>
          </w:tcPr>
          <w:p w:rsidR="00F53FB7" w:rsidRPr="005073C2" w:rsidRDefault="00F53FB7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shd w:val="clear" w:color="auto" w:fill="F2F2F2"/>
          </w:tcPr>
          <w:p w:rsidR="00F53FB7" w:rsidRDefault="00F53FB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F53FB7" w:rsidRPr="005073C2" w:rsidRDefault="00C12FC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12FC0" w:rsidRPr="005073C2" w:rsidTr="00F351C8">
        <w:trPr>
          <w:cantSplit/>
        </w:trPr>
        <w:tc>
          <w:tcPr>
            <w:tcW w:w="1530" w:type="dxa"/>
            <w:gridSpan w:val="2"/>
          </w:tcPr>
          <w:p w:rsidR="00C12FC0" w:rsidRPr="005073C2" w:rsidRDefault="00C12F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12FC0" w:rsidRDefault="00C12FC0" w:rsidP="003B25F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12FC0" w:rsidRDefault="00C12FC0" w:rsidP="00C12FC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12FC0" w:rsidRPr="005C5B9C" w:rsidRDefault="00C12FC0" w:rsidP="00C12FC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12FC0" w:rsidRPr="005C5B9C" w:rsidRDefault="00C12FC0" w:rsidP="00C12FC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B806D5" w:rsidRPr="001D5075" w:rsidRDefault="00B806D5" w:rsidP="00B806D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F53FB7" w:rsidRPr="002F5405" w:rsidRDefault="00F53F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47DCA" w:rsidRDefault="00B806D5" w:rsidP="00A95A1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="00694D9C">
              <w:rPr>
                <w:iCs/>
                <w:sz w:val="18"/>
                <w:szCs w:val="18"/>
              </w:rPr>
              <w:t>information system documentation</w:t>
            </w:r>
            <w:r w:rsidRPr="009F4BA8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="00147DCA" w:rsidRPr="00147DC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A76379">
              <w:rPr>
                <w:iCs/>
                <w:sz w:val="18"/>
                <w:szCs w:val="18"/>
              </w:rPr>
              <w:t xml:space="preserve"> for</w:t>
            </w:r>
            <w:r w:rsidR="00BF63AB">
              <w:rPr>
                <w:iCs/>
                <w:sz w:val="18"/>
                <w:szCs w:val="18"/>
              </w:rPr>
              <w:t xml:space="preserve"> a plan of action and milestones for the information system</w:t>
            </w:r>
            <w:r w:rsidRPr="009F4BA8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C12FC0" w:rsidRPr="005073C2" w:rsidTr="00C12FC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C12FC0" w:rsidRDefault="00C12FC0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12FC0" w:rsidRPr="008D7BED" w:rsidRDefault="00C12FC0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15686B" w:rsidRPr="001D5075" w:rsidRDefault="0015686B" w:rsidP="001568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53FB7" w:rsidRPr="002F5405" w:rsidRDefault="00F53FB7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53FB7" w:rsidRPr="002F5405" w:rsidRDefault="0015686B" w:rsidP="00C5238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Pr="009F4BA8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716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4BA8">
              <w:rPr>
                <w:iCs/>
                <w:sz w:val="18"/>
                <w:szCs w:val="18"/>
              </w:rPr>
              <w:t xml:space="preserve"> sample of controls in the secu</w:t>
            </w:r>
            <w:r w:rsidR="00BF63AB">
              <w:rPr>
                <w:iCs/>
                <w:sz w:val="18"/>
                <w:szCs w:val="18"/>
              </w:rPr>
              <w:t>rity assessment report and the associated</w:t>
            </w:r>
            <w:r w:rsidRPr="009F4BA8">
              <w:rPr>
                <w:iCs/>
                <w:sz w:val="18"/>
                <w:szCs w:val="18"/>
              </w:rPr>
              <w:t xml:space="preserve"> plan of action and milestones; </w:t>
            </w:r>
            <w:r>
              <w:rPr>
                <w:iCs/>
                <w:sz w:val="18"/>
                <w:szCs w:val="18"/>
              </w:rPr>
              <w:t>[</w:t>
            </w:r>
            <w:r w:rsidR="00147DCA" w:rsidRPr="00147DC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A76379">
              <w:rPr>
                <w:iCs/>
                <w:sz w:val="18"/>
                <w:szCs w:val="18"/>
              </w:rPr>
              <w:t xml:space="preserve"> for evidence </w:t>
            </w:r>
            <w:r w:rsidRPr="009F4BA8">
              <w:rPr>
                <w:iCs/>
                <w:sz w:val="18"/>
                <w:szCs w:val="18"/>
              </w:rPr>
              <w:t>that the plan of action and milestones documents the planned</w:t>
            </w:r>
            <w:r w:rsidR="002716F6">
              <w:rPr>
                <w:iCs/>
                <w:sz w:val="18"/>
                <w:szCs w:val="18"/>
              </w:rPr>
              <w:t xml:space="preserve"> remedial actions</w:t>
            </w:r>
            <w:r w:rsidRPr="009F4BA8">
              <w:rPr>
                <w:iCs/>
                <w:sz w:val="18"/>
                <w:szCs w:val="18"/>
              </w:rPr>
              <w:t xml:space="preserve"> to correct deficiencies noted during the assessment of the security controls and to reduce or eliminate known vulnerabilities in the system. </w:t>
            </w:r>
          </w:p>
        </w:tc>
      </w:tr>
      <w:tr w:rsidR="00C12FC0" w:rsidRPr="005073C2" w:rsidTr="00C12FC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C12FC0" w:rsidRDefault="00C12FC0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12FC0" w:rsidRPr="008D7BED" w:rsidRDefault="00C12FC0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15686B" w:rsidRPr="001D5075" w:rsidRDefault="0015686B" w:rsidP="0015686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53FB7" w:rsidRPr="002F5405" w:rsidRDefault="00F53FB7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53FB7" w:rsidRPr="002F5405" w:rsidRDefault="0015686B" w:rsidP="00AB6D4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7767B">
              <w:rPr>
                <w:iCs/>
                <w:sz w:val="18"/>
                <w:szCs w:val="18"/>
              </w:rPr>
              <w:t xml:space="preserve">security assessment and authorization policy, procedures addressing plan of action and milestones, </w:t>
            </w:r>
            <w:r>
              <w:rPr>
                <w:iCs/>
                <w:sz w:val="18"/>
                <w:szCs w:val="18"/>
              </w:rPr>
              <w:t>security plan</w:t>
            </w:r>
            <w:r w:rsidR="0087767B">
              <w:rPr>
                <w:iCs/>
                <w:sz w:val="18"/>
                <w:szCs w:val="18"/>
              </w:rPr>
              <w:t>, or other relevant documents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6037D1">
              <w:rPr>
                <w:iCs/>
                <w:sz w:val="18"/>
                <w:szCs w:val="18"/>
              </w:rPr>
              <w:t>[</w:t>
            </w:r>
            <w:r w:rsidR="00147DCA" w:rsidRPr="00147DCA">
              <w:rPr>
                <w:i/>
                <w:iCs/>
                <w:sz w:val="18"/>
                <w:szCs w:val="18"/>
              </w:rPr>
              <w:t>reviewing</w:t>
            </w:r>
            <w:r w:rsidR="006037D1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 frequency for updating the plan of action and milestones.</w:t>
            </w:r>
          </w:p>
        </w:tc>
      </w:tr>
      <w:tr w:rsidR="00C12FC0" w:rsidRPr="005073C2" w:rsidTr="00C12FC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C12FC0" w:rsidRDefault="00C12FC0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12FC0" w:rsidRPr="008D7BED" w:rsidRDefault="00C12FC0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3FB7" w:rsidRPr="004F7EFC" w:rsidTr="00F351C8">
        <w:trPr>
          <w:cantSplit/>
        </w:trPr>
        <w:tc>
          <w:tcPr>
            <w:tcW w:w="1530" w:type="dxa"/>
            <w:gridSpan w:val="2"/>
          </w:tcPr>
          <w:p w:rsidR="006037D1" w:rsidRPr="001D5075" w:rsidRDefault="006037D1" w:rsidP="006037D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</w:t>
            </w:r>
            <w:r w:rsidR="00445C1A">
              <w:rPr>
                <w:rFonts w:ascii="Arial" w:hAnsi="Arial" w:cs="Arial"/>
                <w:b/>
                <w:iCs/>
                <w:sz w:val="16"/>
                <w:szCs w:val="16"/>
              </w:rPr>
              <w:t>1.4.1</w:t>
            </w:r>
          </w:p>
          <w:p w:rsidR="00F53FB7" w:rsidRDefault="00F53FB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  <w:p w:rsidR="00445C1A" w:rsidRDefault="00445C1A" w:rsidP="00445C1A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01700">
              <w:rPr>
                <w:rFonts w:ascii="Arial" w:hAnsi="Arial" w:cs="Arial"/>
                <w:b/>
                <w:iCs/>
                <w:sz w:val="16"/>
                <w:szCs w:val="16"/>
              </w:rPr>
              <w:t>4.1.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445C1A" w:rsidRDefault="00445C1A" w:rsidP="00445C1A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01700">
              <w:rPr>
                <w:rFonts w:ascii="Arial" w:hAnsi="Arial" w:cs="Arial"/>
                <w:b/>
                <w:iCs/>
                <w:sz w:val="16"/>
                <w:szCs w:val="16"/>
              </w:rPr>
              <w:t>4.1.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445C1A" w:rsidRPr="00445C1A" w:rsidRDefault="00445C1A" w:rsidP="00445C1A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596AF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01700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445C1A" w:rsidRDefault="006037D1" w:rsidP="00445C1A">
            <w:pPr>
              <w:spacing w:before="60" w:after="60"/>
              <w:rPr>
                <w:iCs/>
                <w:sz w:val="18"/>
                <w:szCs w:val="18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="009A2EFC">
              <w:rPr>
                <w:iCs/>
                <w:sz w:val="18"/>
                <w:szCs w:val="18"/>
              </w:rPr>
              <w:t>security assessment and authorization policy, procedures addressing plan of action and milestones, security plan</w:t>
            </w:r>
            <w:r w:rsidRPr="009F4BA8">
              <w:rPr>
                <w:iCs/>
                <w:sz w:val="18"/>
                <w:szCs w:val="18"/>
              </w:rPr>
              <w:t xml:space="preserve">, </w:t>
            </w:r>
            <w:r w:rsidR="009A2EFC">
              <w:rPr>
                <w:iCs/>
                <w:sz w:val="18"/>
                <w:szCs w:val="18"/>
              </w:rPr>
              <w:t xml:space="preserve">or </w:t>
            </w:r>
            <w:r w:rsidRPr="009F4BA8">
              <w:rPr>
                <w:iCs/>
                <w:sz w:val="18"/>
                <w:szCs w:val="18"/>
              </w:rPr>
              <w:t xml:space="preserve">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="00147DCA" w:rsidRPr="00147DC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4B526F">
              <w:rPr>
                <w:iCs/>
                <w:sz w:val="18"/>
                <w:szCs w:val="18"/>
              </w:rPr>
              <w:t xml:space="preserve"> for </w:t>
            </w:r>
            <w:r w:rsidR="00445C1A">
              <w:rPr>
                <w:iCs/>
                <w:sz w:val="18"/>
                <w:szCs w:val="18"/>
              </w:rPr>
              <w:t xml:space="preserve">the frequency identified in CA-5.1.3.1 </w:t>
            </w:r>
            <w:r w:rsidR="009A2EFC">
              <w:rPr>
                <w:iCs/>
                <w:sz w:val="18"/>
                <w:szCs w:val="18"/>
              </w:rPr>
              <w:t xml:space="preserve">for updating the plan of action and milestones </w:t>
            </w:r>
            <w:r w:rsidR="00445C1A">
              <w:rPr>
                <w:iCs/>
                <w:sz w:val="18"/>
                <w:szCs w:val="18"/>
              </w:rPr>
              <w:t>with findings from:</w:t>
            </w:r>
          </w:p>
          <w:p w:rsidR="00445C1A" w:rsidRPr="00445C1A" w:rsidRDefault="00445C1A" w:rsidP="00445C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445C1A">
              <w:rPr>
                <w:iCs/>
                <w:sz w:val="18"/>
                <w:szCs w:val="18"/>
              </w:rPr>
              <w:t>security controls assessments;</w:t>
            </w:r>
          </w:p>
          <w:p w:rsidR="00445C1A" w:rsidRPr="00445C1A" w:rsidRDefault="00445C1A" w:rsidP="00445C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445C1A">
              <w:rPr>
                <w:iCs/>
                <w:sz w:val="18"/>
                <w:szCs w:val="18"/>
              </w:rPr>
              <w:t>security impact analyses; and</w:t>
            </w:r>
          </w:p>
          <w:p w:rsidR="00F53FB7" w:rsidRPr="00445C1A" w:rsidRDefault="00445C1A" w:rsidP="00445C1A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/>
                <w:sz w:val="20"/>
                <w:szCs w:val="20"/>
              </w:rPr>
            </w:pPr>
            <w:proofErr w:type="gramStart"/>
            <w:r w:rsidRPr="00445C1A">
              <w:rPr>
                <w:iCs/>
                <w:sz w:val="18"/>
                <w:szCs w:val="18"/>
              </w:rPr>
              <w:t>continuous</w:t>
            </w:r>
            <w:proofErr w:type="gramEnd"/>
            <w:r w:rsidRPr="00445C1A">
              <w:rPr>
                <w:iCs/>
                <w:sz w:val="18"/>
                <w:szCs w:val="18"/>
              </w:rPr>
              <w:t xml:space="preserve"> monitoring activities.</w:t>
            </w:r>
          </w:p>
        </w:tc>
      </w:tr>
      <w:tr w:rsidR="00F53FB7" w:rsidRPr="004F7EFC" w:rsidTr="00F351C8">
        <w:trPr>
          <w:cantSplit/>
        </w:trPr>
        <w:tc>
          <w:tcPr>
            <w:tcW w:w="1530" w:type="dxa"/>
            <w:gridSpan w:val="2"/>
          </w:tcPr>
          <w:p w:rsidR="006037D1" w:rsidRPr="001D5075" w:rsidRDefault="006037D1" w:rsidP="006037D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 w:rsidR="00001700"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F53FB7" w:rsidRPr="002F5405" w:rsidRDefault="00F53FB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53FB7" w:rsidRPr="00001700" w:rsidRDefault="006037D1" w:rsidP="00735D81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="00001700" w:rsidRPr="009F4BA8">
              <w:rPr>
                <w:iCs/>
                <w:sz w:val="18"/>
                <w:szCs w:val="18"/>
              </w:rPr>
              <w:t xml:space="preserve">an agreed-upon </w:t>
            </w:r>
            <w:r w:rsidR="00001700">
              <w:rPr>
                <w:iCs/>
                <w:sz w:val="18"/>
                <w:szCs w:val="18"/>
              </w:rPr>
              <w:t>[</w:t>
            </w:r>
            <w:r w:rsidR="00001700" w:rsidRPr="002716F6">
              <w:rPr>
                <w:i/>
                <w:iCs/>
                <w:sz w:val="18"/>
                <w:szCs w:val="18"/>
              </w:rPr>
              <w:t>basic</w:t>
            </w:r>
            <w:r w:rsidR="00001700">
              <w:rPr>
                <w:iCs/>
                <w:sz w:val="18"/>
                <w:szCs w:val="18"/>
              </w:rPr>
              <w:t>]</w:t>
            </w:r>
            <w:r w:rsidR="00001700" w:rsidRPr="009F4BA8">
              <w:rPr>
                <w:iCs/>
                <w:sz w:val="18"/>
                <w:szCs w:val="18"/>
              </w:rPr>
              <w:t xml:space="preserve"> sample of </w:t>
            </w:r>
            <w:r w:rsidR="00001700">
              <w:rPr>
                <w:iCs/>
                <w:sz w:val="18"/>
                <w:szCs w:val="18"/>
              </w:rPr>
              <w:t>findings</w:t>
            </w:r>
            <w:r w:rsidR="00001700" w:rsidRPr="009F4BA8">
              <w:rPr>
                <w:iCs/>
                <w:sz w:val="18"/>
                <w:szCs w:val="18"/>
              </w:rPr>
              <w:t xml:space="preserve"> in the secu</w:t>
            </w:r>
            <w:r w:rsidR="00001700">
              <w:rPr>
                <w:iCs/>
                <w:sz w:val="18"/>
                <w:szCs w:val="18"/>
              </w:rPr>
              <w:t>rity assessment report and the associated</w:t>
            </w:r>
            <w:r w:rsidR="00001700" w:rsidRPr="009F4BA8">
              <w:rPr>
                <w:iCs/>
                <w:sz w:val="18"/>
                <w:szCs w:val="18"/>
              </w:rPr>
              <w:t xml:space="preserve"> plan of action and milestones</w:t>
            </w:r>
            <w:r w:rsidRPr="009F4BA8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037D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4B526F">
              <w:rPr>
                <w:iCs/>
                <w:sz w:val="18"/>
                <w:szCs w:val="18"/>
              </w:rPr>
              <w:t xml:space="preserve"> for evidence</w:t>
            </w:r>
            <w:r w:rsidRPr="009F4BA8">
              <w:rPr>
                <w:iCs/>
                <w:sz w:val="18"/>
                <w:szCs w:val="18"/>
              </w:rPr>
              <w:t xml:space="preserve"> </w:t>
            </w:r>
            <w:r w:rsidR="00001700">
              <w:rPr>
                <w:iCs/>
                <w:sz w:val="18"/>
                <w:szCs w:val="18"/>
              </w:rPr>
              <w:t xml:space="preserve">that the </w:t>
            </w:r>
            <w:r w:rsidR="00735D81">
              <w:rPr>
                <w:iCs/>
                <w:sz w:val="18"/>
                <w:szCs w:val="18"/>
              </w:rPr>
              <w:t>plan of action and milestones is updated in accordance with the frequency</w:t>
            </w:r>
            <w:r w:rsidR="00001700">
              <w:rPr>
                <w:iCs/>
                <w:sz w:val="18"/>
                <w:szCs w:val="18"/>
              </w:rPr>
              <w:t xml:space="preserve"> identified in</w:t>
            </w:r>
            <w:r w:rsidR="00001700" w:rsidRPr="00001700">
              <w:rPr>
                <w:iCs/>
                <w:sz w:val="18"/>
                <w:szCs w:val="18"/>
              </w:rPr>
              <w:t xml:space="preserve"> CA-</w:t>
            </w:r>
            <w:r w:rsidR="005D3ABD">
              <w:rPr>
                <w:iCs/>
                <w:sz w:val="18"/>
                <w:szCs w:val="18"/>
              </w:rPr>
              <w:t>5.1.4.1.a.</w:t>
            </w:r>
          </w:p>
        </w:tc>
      </w:tr>
      <w:tr w:rsidR="0087767B" w:rsidRPr="004F7EFC" w:rsidTr="00F351C8">
        <w:trPr>
          <w:cantSplit/>
        </w:trPr>
        <w:tc>
          <w:tcPr>
            <w:tcW w:w="1530" w:type="dxa"/>
            <w:gridSpan w:val="2"/>
          </w:tcPr>
          <w:p w:rsidR="0087767B" w:rsidRPr="0087767B" w:rsidRDefault="0087767B" w:rsidP="0087767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</w:t>
            </w:r>
            <w:r w:rsidR="001F28E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7767B" w:rsidRPr="009F4BA8" w:rsidRDefault="0087767B" w:rsidP="00735D8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Pr="009F4BA8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716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4BA8">
              <w:rPr>
                <w:iCs/>
                <w:sz w:val="18"/>
                <w:szCs w:val="18"/>
              </w:rPr>
              <w:t xml:space="preserve"> sample of </w:t>
            </w:r>
            <w:r>
              <w:rPr>
                <w:iCs/>
                <w:sz w:val="18"/>
                <w:szCs w:val="18"/>
              </w:rPr>
              <w:t>findings</w:t>
            </w:r>
            <w:r w:rsidRPr="009F4BA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from security impact analyses and the associated</w:t>
            </w:r>
            <w:r w:rsidRPr="009F4BA8">
              <w:rPr>
                <w:iCs/>
                <w:sz w:val="18"/>
                <w:szCs w:val="18"/>
              </w:rPr>
              <w:t xml:space="preserve"> plan of action and milestones; </w:t>
            </w:r>
            <w:r>
              <w:rPr>
                <w:iCs/>
                <w:sz w:val="18"/>
                <w:szCs w:val="18"/>
              </w:rPr>
              <w:t>[</w:t>
            </w:r>
            <w:r w:rsidRPr="006037D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9F4BA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that the </w:t>
            </w:r>
            <w:r w:rsidR="00735D81">
              <w:rPr>
                <w:iCs/>
                <w:sz w:val="18"/>
                <w:szCs w:val="18"/>
              </w:rPr>
              <w:t>plan of action and milestones is updated in accordance with the frequency</w:t>
            </w:r>
            <w:r>
              <w:rPr>
                <w:iCs/>
                <w:sz w:val="18"/>
                <w:szCs w:val="18"/>
              </w:rPr>
              <w:t xml:space="preserve"> identified in</w:t>
            </w:r>
            <w:r w:rsidRPr="00001700">
              <w:rPr>
                <w:iCs/>
                <w:sz w:val="18"/>
                <w:szCs w:val="18"/>
              </w:rPr>
              <w:t xml:space="preserve"> CA-5.1.4.1.</w:t>
            </w:r>
            <w:r>
              <w:rPr>
                <w:iCs/>
                <w:sz w:val="18"/>
                <w:szCs w:val="18"/>
              </w:rPr>
              <w:t>b</w:t>
            </w:r>
            <w:r w:rsidR="005D3ABD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7767B" w:rsidRPr="004F7EFC" w:rsidTr="00F351C8">
        <w:trPr>
          <w:cantSplit/>
        </w:trPr>
        <w:tc>
          <w:tcPr>
            <w:tcW w:w="1530" w:type="dxa"/>
            <w:gridSpan w:val="2"/>
          </w:tcPr>
          <w:p w:rsidR="0087767B" w:rsidRPr="001D5075" w:rsidRDefault="0087767B" w:rsidP="0087767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</w:t>
            </w:r>
            <w:r w:rsidR="001F28E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87767B" w:rsidRPr="009F4BA8" w:rsidRDefault="0087767B" w:rsidP="00735D8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9F4BA8">
              <w:rPr>
                <w:b/>
                <w:iCs/>
                <w:sz w:val="18"/>
                <w:szCs w:val="18"/>
              </w:rPr>
              <w:t xml:space="preserve">Examine </w:t>
            </w:r>
            <w:r w:rsidRPr="009F4BA8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716F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4BA8">
              <w:rPr>
                <w:iCs/>
                <w:sz w:val="18"/>
                <w:szCs w:val="18"/>
              </w:rPr>
              <w:t xml:space="preserve"> sample of </w:t>
            </w:r>
            <w:r>
              <w:rPr>
                <w:iCs/>
                <w:sz w:val="18"/>
                <w:szCs w:val="18"/>
              </w:rPr>
              <w:t>findings</w:t>
            </w:r>
            <w:r w:rsidRPr="009F4BA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from continuous monitoring activities and the associated</w:t>
            </w:r>
            <w:r w:rsidRPr="009F4BA8">
              <w:rPr>
                <w:iCs/>
                <w:sz w:val="18"/>
                <w:szCs w:val="18"/>
              </w:rPr>
              <w:t xml:space="preserve"> plan of action and milestones; </w:t>
            </w:r>
            <w:r>
              <w:rPr>
                <w:iCs/>
                <w:sz w:val="18"/>
                <w:szCs w:val="18"/>
              </w:rPr>
              <w:t>[</w:t>
            </w:r>
            <w:r w:rsidRPr="006037D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9F4BA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that the </w:t>
            </w:r>
            <w:r w:rsidR="00735D81">
              <w:rPr>
                <w:iCs/>
                <w:sz w:val="18"/>
                <w:szCs w:val="18"/>
              </w:rPr>
              <w:t>plan of action and milestones is updated in accordance with the frequency</w:t>
            </w:r>
            <w:r>
              <w:rPr>
                <w:iCs/>
                <w:sz w:val="18"/>
                <w:szCs w:val="18"/>
              </w:rPr>
              <w:t xml:space="preserve"> identified in</w:t>
            </w:r>
            <w:r w:rsidRPr="00001700">
              <w:rPr>
                <w:iCs/>
                <w:sz w:val="18"/>
                <w:szCs w:val="18"/>
              </w:rPr>
              <w:t xml:space="preserve"> CA-5.1.4.1.</w:t>
            </w:r>
            <w:r>
              <w:rPr>
                <w:iCs/>
                <w:sz w:val="18"/>
                <w:szCs w:val="18"/>
              </w:rPr>
              <w:t>c</w:t>
            </w:r>
            <w:r w:rsidR="005D3ABD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F53FB7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/>
          </w:tcPr>
          <w:p w:rsidR="00F53FB7" w:rsidRPr="005073C2" w:rsidRDefault="00F53FB7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F53FB7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/>
          </w:tcPr>
          <w:p w:rsidR="00F53FB7" w:rsidRPr="005073C2" w:rsidRDefault="00F53FB7" w:rsidP="000E3316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</w:t>
            </w:r>
          </w:p>
        </w:tc>
      </w:tr>
      <w:tr w:rsidR="00F53FB7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/>
          </w:tcPr>
          <w:p w:rsidR="00F53FB7" w:rsidRPr="005073C2" w:rsidRDefault="00F53FB7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12FC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53FB7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/>
          </w:tcPr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CA-5(1)     </w:t>
            </w:r>
          </w:p>
        </w:tc>
        <w:tc>
          <w:tcPr>
            <w:tcW w:w="7110" w:type="dxa"/>
            <w:shd w:val="clear" w:color="auto" w:fill="A6A6A6"/>
          </w:tcPr>
          <w:p w:rsidR="00F53FB7" w:rsidRPr="001D5075" w:rsidRDefault="00F53FB7" w:rsidP="001C20E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PLAN OF ACTION AND MILESTONES</w:t>
            </w:r>
          </w:p>
        </w:tc>
      </w:tr>
      <w:tr w:rsidR="00F53FB7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721C8D" w:rsidRDefault="00721C8D" w:rsidP="00721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CA-5(1).1</w:t>
            </w:r>
          </w:p>
          <w:p w:rsidR="00F53FB7" w:rsidRDefault="00F53FB7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53FB7" w:rsidRDefault="00F53FB7" w:rsidP="001C20ED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53FB7" w:rsidRDefault="00C12FC0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3FB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3FB7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F53FB7" w:rsidRDefault="00C12FC0" w:rsidP="001C20E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53FB7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53FB7" w:rsidRPr="001D5075" w:rsidRDefault="00C12FC0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53FB7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F53FB7" w:rsidRPr="001D5075" w:rsidRDefault="00F53FB7" w:rsidP="001C20E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F53FB7" w:rsidRPr="001D5075" w:rsidRDefault="00F53FB7" w:rsidP="001C20E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53FB7" w:rsidRDefault="00F53FB7" w:rsidP="001C20E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 the organization employs automated mechanisms to help ensure that the plan of action and milestones for the information system is</w:t>
            </w:r>
            <w:r>
              <w:rPr>
                <w:i/>
                <w:iCs/>
                <w:sz w:val="20"/>
              </w:rPr>
              <w:t>:</w:t>
            </w:r>
          </w:p>
          <w:p w:rsidR="00F53FB7" w:rsidRDefault="00F53FB7" w:rsidP="000E331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accurate;</w:t>
            </w:r>
          </w:p>
          <w:p w:rsidR="00F53FB7" w:rsidRDefault="00F53FB7" w:rsidP="000E331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up to date; </w:t>
            </w:r>
            <w:r w:rsidRPr="001E37B4">
              <w:rPr>
                <w:i/>
                <w:iCs/>
                <w:sz w:val="20"/>
              </w:rPr>
              <w:t>and</w:t>
            </w:r>
          </w:p>
          <w:p w:rsidR="00F53FB7" w:rsidRPr="001E37B4" w:rsidRDefault="00F53FB7" w:rsidP="000E331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E37B4">
              <w:rPr>
                <w:i/>
                <w:iCs/>
                <w:sz w:val="20"/>
              </w:rPr>
              <w:t>readily</w:t>
            </w:r>
            <w:proofErr w:type="gramEnd"/>
            <w:r w:rsidRPr="001E37B4">
              <w:rPr>
                <w:i/>
                <w:iCs/>
                <w:sz w:val="20"/>
              </w:rPr>
              <w:t xml:space="preserve"> available.</w:t>
            </w:r>
          </w:p>
          <w:p w:rsidR="00F53FB7" w:rsidRPr="003302F0" w:rsidRDefault="00F53FB7" w:rsidP="001C20E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302F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53FB7" w:rsidRPr="00BD5D44" w:rsidRDefault="00F53FB7" w:rsidP="001C20ED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D5D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D5D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plan of action and milestones;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information system design documentation, information system configuration settings and associated documentation; </w:t>
            </w:r>
            <w:r w:rsidRPr="00BD5D44">
              <w:rPr>
                <w:rFonts w:ascii="Arial" w:hAnsi="Arial" w:cs="Arial"/>
                <w:iCs/>
                <w:sz w:val="16"/>
                <w:szCs w:val="16"/>
              </w:rPr>
              <w:t>plan of action and milestones; other relevant documents or records].</w:t>
            </w:r>
          </w:p>
          <w:p w:rsidR="00F53FB7" w:rsidRDefault="00F53FB7" w:rsidP="001C20ED">
            <w:pPr>
              <w:spacing w:before="60" w:after="12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BD5D4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D5D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plan of action and milestones development and implementation responsibilities]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  <w:p w:rsidR="00F53FB7" w:rsidRPr="001D5075" w:rsidRDefault="00F53FB7" w:rsidP="001C20ED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D5D4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for developing, implementing and maintaining plan of action and milestones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F53FB7" w:rsidRPr="005073C2" w:rsidTr="00F351C8">
        <w:trPr>
          <w:cantSplit/>
        </w:trPr>
        <w:tc>
          <w:tcPr>
            <w:tcW w:w="8640" w:type="dxa"/>
            <w:gridSpan w:val="3"/>
          </w:tcPr>
          <w:p w:rsidR="00F53FB7" w:rsidRPr="005073C2" w:rsidRDefault="00F53FB7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53FB7" w:rsidRPr="005073C2" w:rsidTr="002F5405">
        <w:trPr>
          <w:cantSplit/>
        </w:trPr>
        <w:tc>
          <w:tcPr>
            <w:tcW w:w="1530" w:type="dxa"/>
            <w:gridSpan w:val="2"/>
            <w:shd w:val="clear" w:color="auto" w:fill="D9D9D9"/>
          </w:tcPr>
          <w:p w:rsidR="00F53FB7" w:rsidRPr="005073C2" w:rsidRDefault="00F53FB7" w:rsidP="00005197"/>
        </w:tc>
        <w:tc>
          <w:tcPr>
            <w:tcW w:w="7110" w:type="dxa"/>
          </w:tcPr>
          <w:p w:rsidR="00F53FB7" w:rsidRPr="005073C2" w:rsidRDefault="00F53FB7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716F6" w:rsidRDefault="00F53FB7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716F6">
              <w:rPr>
                <w:rFonts w:ascii="Arial" w:hAnsi="Arial" w:cs="Arial"/>
                <w:iCs/>
                <w:smallCaps/>
                <w:sz w:val="16"/>
                <w:szCs w:val="16"/>
              </w:rPr>
              <w:t>CA-2, CA-7</w:t>
            </w:r>
            <w:r w:rsidR="00BD36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CM-4, RA-3, </w:t>
            </w:r>
            <w:r w:rsidR="00FA483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BD3611">
              <w:rPr>
                <w:rFonts w:ascii="Arial" w:hAnsi="Arial" w:cs="Arial"/>
                <w:iCs/>
                <w:smallCaps/>
                <w:sz w:val="16"/>
                <w:szCs w:val="16"/>
              </w:rPr>
              <w:t>SA-11, SI-2</w:t>
            </w:r>
          </w:p>
          <w:p w:rsidR="00F53FB7" w:rsidRPr="002716F6" w:rsidRDefault="00F53FB7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D3611">
              <w:rPr>
                <w:rFonts w:ascii="Arial" w:hAnsi="Arial" w:cs="Arial"/>
                <w:iCs/>
                <w:smallCaps/>
                <w:sz w:val="16"/>
                <w:szCs w:val="16"/>
              </w:rPr>
              <w:t>CM-6, PM-4</w:t>
            </w:r>
          </w:p>
          <w:p w:rsidR="00F53FB7" w:rsidRPr="002F5405" w:rsidRDefault="00F53FB7" w:rsidP="002716F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2716F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 </w:t>
            </w:r>
            <w:r w:rsidR="002716F6" w:rsidRPr="002716F6">
              <w:rPr>
                <w:rFonts w:ascii="Arial" w:hAnsi="Arial" w:cs="Arial"/>
                <w:iCs/>
                <w:smallCaps/>
                <w:sz w:val="16"/>
                <w:szCs w:val="16"/>
              </w:rPr>
              <w:t>CA-6</w:t>
            </w:r>
            <w:r w:rsidR="00BD3611">
              <w:rPr>
                <w:rFonts w:ascii="Arial" w:hAnsi="Arial" w:cs="Arial"/>
                <w:iCs/>
                <w:smallCaps/>
                <w:sz w:val="16"/>
                <w:szCs w:val="16"/>
              </w:rPr>
              <w:t>, PM-10</w:t>
            </w:r>
          </w:p>
        </w:tc>
      </w:tr>
      <w:tr w:rsidR="00F53FB7" w:rsidRPr="005073C2" w:rsidTr="007D39C7">
        <w:trPr>
          <w:cantSplit/>
        </w:trPr>
        <w:tc>
          <w:tcPr>
            <w:tcW w:w="1530" w:type="dxa"/>
            <w:gridSpan w:val="2"/>
            <w:shd w:val="clear" w:color="auto" w:fill="F2F2F2"/>
          </w:tcPr>
          <w:p w:rsidR="00F53FB7" w:rsidRPr="005073C2" w:rsidRDefault="00F53FB7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shd w:val="clear" w:color="auto" w:fill="F2F2F2"/>
          </w:tcPr>
          <w:p w:rsidR="00F53FB7" w:rsidRPr="005073C2" w:rsidRDefault="00F53FB7" w:rsidP="00C12FC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A50FE4" w:rsidRDefault="00C12FC0" w:rsidP="00A50F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F491E" w:rsidRDefault="00EF491E" w:rsidP="006037D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21C8D" w:rsidRDefault="00EF491E" w:rsidP="006E573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C12FC0"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6AF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12FC0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721C8D" w:rsidRDefault="00C12FC0" w:rsidP="00721C8D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EF491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6AF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53FB7" w:rsidRPr="00EF491E" w:rsidRDefault="00C12FC0" w:rsidP="00721C8D">
            <w:pPr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96AF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EF491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EF491E" w:rsidRDefault="006037D1" w:rsidP="00375EB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037D1">
              <w:rPr>
                <w:b/>
                <w:iCs/>
                <w:sz w:val="18"/>
                <w:szCs w:val="18"/>
              </w:rPr>
              <w:t xml:space="preserve">Examine </w:t>
            </w:r>
            <w:r w:rsidR="003252E9">
              <w:rPr>
                <w:iCs/>
                <w:sz w:val="18"/>
                <w:szCs w:val="18"/>
              </w:rPr>
              <w:t xml:space="preserve">security plan, information system design documentation </w:t>
            </w:r>
            <w:r w:rsidR="00EF491E">
              <w:rPr>
                <w:iCs/>
                <w:sz w:val="18"/>
                <w:szCs w:val="18"/>
              </w:rPr>
              <w:t>, or</w:t>
            </w:r>
            <w:r w:rsidR="00375EBC">
              <w:rPr>
                <w:iCs/>
                <w:sz w:val="18"/>
                <w:szCs w:val="18"/>
              </w:rPr>
              <w:t xml:space="preserve"> other relevant documents or records</w:t>
            </w:r>
            <w:r>
              <w:rPr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375EBC">
              <w:rPr>
                <w:iCs/>
                <w:sz w:val="18"/>
                <w:szCs w:val="18"/>
              </w:rPr>
              <w:t>help ensure that the plan of action and milestones for the information system is</w:t>
            </w:r>
            <w:r w:rsidR="00154E7F">
              <w:rPr>
                <w:iCs/>
                <w:sz w:val="18"/>
                <w:szCs w:val="18"/>
              </w:rPr>
              <w:t>:</w:t>
            </w:r>
          </w:p>
          <w:p w:rsidR="00EF491E" w:rsidRPr="00EF491E" w:rsidRDefault="00EF491E" w:rsidP="00EF491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F491E">
              <w:rPr>
                <w:iCs/>
                <w:sz w:val="18"/>
                <w:szCs w:val="18"/>
              </w:rPr>
              <w:t>accurate;</w:t>
            </w:r>
          </w:p>
          <w:p w:rsidR="00EF491E" w:rsidRPr="00EF491E" w:rsidRDefault="00EF491E" w:rsidP="00EF491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F491E">
              <w:rPr>
                <w:iCs/>
                <w:sz w:val="18"/>
                <w:szCs w:val="18"/>
              </w:rPr>
              <w:t>up to date; and</w:t>
            </w:r>
          </w:p>
          <w:p w:rsidR="00F53FB7" w:rsidRPr="00EF491E" w:rsidRDefault="00EF491E" w:rsidP="00375EB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F491E">
              <w:rPr>
                <w:iCs/>
                <w:sz w:val="18"/>
                <w:szCs w:val="18"/>
              </w:rPr>
              <w:t>readily</w:t>
            </w:r>
            <w:proofErr w:type="gramEnd"/>
            <w:r w:rsidRPr="00EF491E">
              <w:rPr>
                <w:iCs/>
                <w:sz w:val="18"/>
                <w:szCs w:val="18"/>
              </w:rPr>
              <w:t xml:space="preserve"> available.</w:t>
            </w: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B50201" w:rsidRDefault="00B50201" w:rsidP="00B5020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50FE4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</w:p>
          <w:p w:rsidR="00F53FB7" w:rsidRPr="002F5405" w:rsidRDefault="00F53FB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53FB7" w:rsidRPr="005073C2" w:rsidRDefault="00CF242C" w:rsidP="00154E7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F242C">
              <w:rPr>
                <w:b/>
                <w:iCs/>
                <w:sz w:val="18"/>
                <w:szCs w:val="18"/>
              </w:rPr>
              <w:t>Examine</w:t>
            </w:r>
            <w:r w:rsidR="00B50201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B50201"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="00B50201" w:rsidRPr="009F22AF">
              <w:rPr>
                <w:b/>
                <w:iCs/>
                <w:sz w:val="18"/>
                <w:szCs w:val="18"/>
              </w:rPr>
              <w:t xml:space="preserve"> </w:t>
            </w:r>
            <w:r w:rsidR="00B50201" w:rsidRPr="009F22AF">
              <w:rPr>
                <w:iCs/>
                <w:sz w:val="18"/>
                <w:szCs w:val="18"/>
              </w:rPr>
              <w:t>agreed-upon [</w:t>
            </w:r>
            <w:r w:rsidR="00B50201" w:rsidRPr="009F22AF">
              <w:rPr>
                <w:i/>
                <w:iCs/>
                <w:sz w:val="18"/>
                <w:szCs w:val="18"/>
              </w:rPr>
              <w:t>basic</w:t>
            </w:r>
            <w:r w:rsidR="00B50201">
              <w:rPr>
                <w:iCs/>
                <w:sz w:val="18"/>
                <w:szCs w:val="18"/>
              </w:rPr>
              <w:t>]</w:t>
            </w:r>
            <w:r w:rsidR="00B50201" w:rsidRPr="009F22AF">
              <w:rPr>
                <w:i/>
                <w:iCs/>
                <w:sz w:val="18"/>
                <w:szCs w:val="18"/>
              </w:rPr>
              <w:t xml:space="preserve"> </w:t>
            </w:r>
            <w:r w:rsidR="00B50201" w:rsidRPr="00EF3CC7">
              <w:rPr>
                <w:iCs/>
                <w:sz w:val="18"/>
                <w:szCs w:val="18"/>
              </w:rPr>
              <w:t xml:space="preserve"> sample</w:t>
            </w:r>
            <w:r w:rsidR="00B50201" w:rsidRPr="009F22AF">
              <w:rPr>
                <w:iCs/>
                <w:sz w:val="18"/>
                <w:szCs w:val="18"/>
              </w:rPr>
              <w:t xml:space="preserve"> of automated mechanisms</w:t>
            </w:r>
            <w:r w:rsidR="00B50201">
              <w:rPr>
                <w:iCs/>
                <w:sz w:val="18"/>
                <w:szCs w:val="18"/>
              </w:rPr>
              <w:t xml:space="preserve"> </w:t>
            </w:r>
            <w:r w:rsidR="00C12FC0">
              <w:rPr>
                <w:iCs/>
                <w:sz w:val="18"/>
                <w:szCs w:val="18"/>
              </w:rPr>
              <w:t xml:space="preserve"> identified in 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B370AB">
              <w:rPr>
                <w:iCs/>
                <w:sz w:val="18"/>
                <w:szCs w:val="18"/>
              </w:rPr>
              <w:t>.</w:t>
            </w:r>
            <w:r w:rsidR="00154E7F">
              <w:rPr>
                <w:iCs/>
                <w:sz w:val="18"/>
                <w:szCs w:val="18"/>
              </w:rPr>
              <w:t>a</w:t>
            </w:r>
            <w:r w:rsidR="00B50201">
              <w:rPr>
                <w:iCs/>
                <w:sz w:val="18"/>
                <w:szCs w:val="18"/>
              </w:rPr>
              <w:t xml:space="preserve">; </w:t>
            </w:r>
            <w:r w:rsidR="00B50201" w:rsidRPr="004B1CD4">
              <w:rPr>
                <w:iCs/>
                <w:sz w:val="18"/>
                <w:szCs w:val="18"/>
              </w:rPr>
              <w:t>[</w:t>
            </w:r>
            <w:r w:rsidR="00B50201" w:rsidRPr="004B1CD4">
              <w:rPr>
                <w:i/>
                <w:iCs/>
                <w:sz w:val="18"/>
                <w:szCs w:val="18"/>
              </w:rPr>
              <w:t>reviewing</w:t>
            </w:r>
            <w:r w:rsidR="00B50201" w:rsidRPr="004B1CD4">
              <w:rPr>
                <w:iCs/>
                <w:sz w:val="18"/>
                <w:szCs w:val="18"/>
              </w:rPr>
              <w:t>]</w:t>
            </w:r>
            <w:r w:rsidR="00B50201">
              <w:rPr>
                <w:iCs/>
                <w:sz w:val="18"/>
                <w:szCs w:val="18"/>
              </w:rPr>
              <w:t xml:space="preserve"> </w:t>
            </w:r>
            <w:r w:rsidR="00B50201">
              <w:rPr>
                <w:sz w:val="18"/>
                <w:szCs w:val="18"/>
              </w:rPr>
              <w:t xml:space="preserve">for evidence that these mechanisms are configured to </w:t>
            </w:r>
            <w:r w:rsidR="003252E9">
              <w:rPr>
                <w:sz w:val="18"/>
                <w:szCs w:val="18"/>
              </w:rPr>
              <w:t xml:space="preserve">help </w:t>
            </w:r>
            <w:r w:rsidR="00B50201">
              <w:rPr>
                <w:sz w:val="18"/>
                <w:szCs w:val="18"/>
              </w:rPr>
              <w:t xml:space="preserve">ensure that the plan of action and milestones for the </w:t>
            </w:r>
            <w:r w:rsidR="00B370AB">
              <w:rPr>
                <w:sz w:val="18"/>
                <w:szCs w:val="18"/>
              </w:rPr>
              <w:t>information system is accurate</w:t>
            </w:r>
            <w:r w:rsidR="00B50201">
              <w:rPr>
                <w:sz w:val="18"/>
                <w:szCs w:val="18"/>
              </w:rPr>
              <w:t xml:space="preserve"> as identified in </w:t>
            </w:r>
            <w:r w:rsidR="00C12FC0">
              <w:rPr>
                <w:iCs/>
                <w:sz w:val="18"/>
                <w:szCs w:val="18"/>
              </w:rPr>
              <w:t>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596AF8">
              <w:rPr>
                <w:iCs/>
                <w:sz w:val="18"/>
                <w:szCs w:val="18"/>
              </w:rPr>
              <w:t>.</w:t>
            </w:r>
            <w:r w:rsidR="00FF7E83">
              <w:rPr>
                <w:iCs/>
                <w:sz w:val="18"/>
                <w:szCs w:val="18"/>
              </w:rPr>
              <w:t>a</w:t>
            </w:r>
            <w:r w:rsidR="00B50201">
              <w:rPr>
                <w:sz w:val="18"/>
                <w:szCs w:val="18"/>
              </w:rPr>
              <w:t>.</w:t>
            </w: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A50FE4" w:rsidRDefault="00A50FE4" w:rsidP="00A50F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1.3</w:t>
            </w:r>
          </w:p>
          <w:p w:rsidR="00F53FB7" w:rsidRPr="002F5405" w:rsidRDefault="00F53F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53FB7" w:rsidRPr="005073C2" w:rsidRDefault="00B50201" w:rsidP="00B5020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B50201">
              <w:rPr>
                <w:b/>
                <w:iCs/>
                <w:sz w:val="18"/>
                <w:szCs w:val="18"/>
              </w:rPr>
              <w:t>Examine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automated mechanisms</w:t>
            </w:r>
            <w:r>
              <w:rPr>
                <w:iCs/>
                <w:sz w:val="18"/>
                <w:szCs w:val="18"/>
              </w:rPr>
              <w:t xml:space="preserve">  identified in </w:t>
            </w:r>
            <w:r w:rsidR="00C12FC0">
              <w:rPr>
                <w:iCs/>
                <w:sz w:val="18"/>
                <w:szCs w:val="18"/>
              </w:rPr>
              <w:t>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B370AB">
              <w:rPr>
                <w:iCs/>
                <w:sz w:val="18"/>
                <w:szCs w:val="18"/>
              </w:rPr>
              <w:t>.</w:t>
            </w:r>
            <w:r w:rsidR="00154E7F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evidence that these mechanisms are configured to </w:t>
            </w:r>
            <w:r w:rsidR="003252E9">
              <w:rPr>
                <w:sz w:val="18"/>
                <w:szCs w:val="18"/>
              </w:rPr>
              <w:t xml:space="preserve">help </w:t>
            </w:r>
            <w:r>
              <w:rPr>
                <w:sz w:val="18"/>
                <w:szCs w:val="18"/>
              </w:rPr>
              <w:t xml:space="preserve">ensure that the plan of action and milestones for the information system is up to date as identified in </w:t>
            </w:r>
            <w:r w:rsidR="00C12FC0">
              <w:rPr>
                <w:iCs/>
                <w:sz w:val="18"/>
                <w:szCs w:val="18"/>
              </w:rPr>
              <w:t>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596AF8">
              <w:rPr>
                <w:iCs/>
                <w:sz w:val="18"/>
                <w:szCs w:val="18"/>
              </w:rPr>
              <w:t>.</w:t>
            </w:r>
            <w:r w:rsidR="00154E7F">
              <w:rPr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.</w:t>
            </w:r>
          </w:p>
        </w:tc>
      </w:tr>
      <w:tr w:rsidR="00F53FB7" w:rsidRPr="005073C2" w:rsidTr="00F351C8">
        <w:trPr>
          <w:cantSplit/>
        </w:trPr>
        <w:tc>
          <w:tcPr>
            <w:tcW w:w="1530" w:type="dxa"/>
            <w:gridSpan w:val="2"/>
          </w:tcPr>
          <w:p w:rsidR="00A50FE4" w:rsidRDefault="00A50FE4" w:rsidP="00A50FE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CA-5(1)</w:t>
            </w:r>
            <w:r w:rsidR="00721C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1.4</w:t>
            </w:r>
          </w:p>
          <w:p w:rsidR="00F53FB7" w:rsidRPr="005073C2" w:rsidRDefault="00F53FB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53FB7" w:rsidRPr="005073C2" w:rsidRDefault="00B50201" w:rsidP="0000519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B50201">
              <w:rPr>
                <w:b/>
                <w:iCs/>
                <w:sz w:val="18"/>
                <w:szCs w:val="18"/>
              </w:rPr>
              <w:t>Examine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automated mechanisms</w:t>
            </w:r>
            <w:r>
              <w:rPr>
                <w:iCs/>
                <w:sz w:val="18"/>
                <w:szCs w:val="18"/>
              </w:rPr>
              <w:t xml:space="preserve">  identified in </w:t>
            </w:r>
            <w:r w:rsidR="00C12FC0">
              <w:rPr>
                <w:iCs/>
                <w:sz w:val="18"/>
                <w:szCs w:val="18"/>
              </w:rPr>
              <w:t>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596AF8">
              <w:rPr>
                <w:iCs/>
                <w:sz w:val="18"/>
                <w:szCs w:val="18"/>
              </w:rPr>
              <w:t>.</w:t>
            </w:r>
            <w:r w:rsidR="00154E7F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evidence that these mechanisms are configured to </w:t>
            </w:r>
            <w:r w:rsidR="003252E9">
              <w:rPr>
                <w:sz w:val="18"/>
                <w:szCs w:val="18"/>
              </w:rPr>
              <w:t xml:space="preserve">help </w:t>
            </w:r>
            <w:r>
              <w:rPr>
                <w:sz w:val="18"/>
                <w:szCs w:val="18"/>
              </w:rPr>
              <w:t xml:space="preserve">ensure that the plan of action and milestones for the information system is readily available s as identified in </w:t>
            </w:r>
            <w:r w:rsidR="00C12FC0">
              <w:rPr>
                <w:iCs/>
                <w:sz w:val="18"/>
                <w:szCs w:val="18"/>
              </w:rPr>
              <w:t>CA-5(1)</w:t>
            </w:r>
            <w:r w:rsidR="00154E7F">
              <w:rPr>
                <w:iCs/>
                <w:sz w:val="18"/>
                <w:szCs w:val="18"/>
              </w:rPr>
              <w:t>.1</w:t>
            </w:r>
            <w:r w:rsidR="00596AF8">
              <w:rPr>
                <w:iCs/>
                <w:sz w:val="18"/>
                <w:szCs w:val="18"/>
              </w:rPr>
              <w:t>.</w:t>
            </w:r>
            <w:r w:rsidR="00154E7F">
              <w:rPr>
                <w:iCs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F53FB7" w:rsidRDefault="00F53FB7"/>
    <w:sectPr w:rsidR="00F53FB7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8BB" w:rsidRDefault="002C58BB" w:rsidP="00F351C8">
      <w:r>
        <w:separator/>
      </w:r>
    </w:p>
  </w:endnote>
  <w:endnote w:type="continuationSeparator" w:id="0">
    <w:p w:rsidR="002C58BB" w:rsidRDefault="002C58B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790641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12FC0" w:rsidRPr="00C12FC0" w:rsidRDefault="00C12FC0">
            <w:pPr>
              <w:pStyle w:val="Footer"/>
              <w:jc w:val="center"/>
              <w:rPr>
                <w:sz w:val="20"/>
                <w:szCs w:val="20"/>
              </w:rPr>
            </w:pPr>
            <w:r w:rsidRPr="00C12FC0">
              <w:rPr>
                <w:sz w:val="20"/>
                <w:szCs w:val="20"/>
              </w:rPr>
              <w:t>Initial Public Draft</w:t>
            </w:r>
          </w:p>
          <w:p w:rsidR="00C12FC0" w:rsidRPr="00C12FC0" w:rsidRDefault="00C12FC0">
            <w:pPr>
              <w:pStyle w:val="Footer"/>
              <w:jc w:val="center"/>
              <w:rPr>
                <w:sz w:val="20"/>
                <w:szCs w:val="20"/>
              </w:rPr>
            </w:pPr>
            <w:r w:rsidRPr="00C12FC0">
              <w:rPr>
                <w:sz w:val="20"/>
                <w:szCs w:val="20"/>
              </w:rPr>
              <w:t xml:space="preserve">Page </w:t>
            </w:r>
            <w:r w:rsidR="001A1B44" w:rsidRPr="00C12FC0">
              <w:rPr>
                <w:b/>
                <w:sz w:val="20"/>
                <w:szCs w:val="20"/>
              </w:rPr>
              <w:fldChar w:fldCharType="begin"/>
            </w:r>
            <w:r w:rsidRPr="00C12FC0">
              <w:rPr>
                <w:b/>
                <w:sz w:val="20"/>
                <w:szCs w:val="20"/>
              </w:rPr>
              <w:instrText xml:space="preserve"> PAGE </w:instrText>
            </w:r>
            <w:r w:rsidR="001A1B44" w:rsidRPr="00C12FC0">
              <w:rPr>
                <w:b/>
                <w:sz w:val="20"/>
                <w:szCs w:val="20"/>
              </w:rPr>
              <w:fldChar w:fldCharType="separate"/>
            </w:r>
            <w:r w:rsidR="00721C8D">
              <w:rPr>
                <w:b/>
                <w:noProof/>
                <w:sz w:val="20"/>
                <w:szCs w:val="20"/>
              </w:rPr>
              <w:t>1</w:t>
            </w:r>
            <w:r w:rsidR="001A1B44" w:rsidRPr="00C12FC0">
              <w:rPr>
                <w:b/>
                <w:sz w:val="20"/>
                <w:szCs w:val="20"/>
              </w:rPr>
              <w:fldChar w:fldCharType="end"/>
            </w:r>
            <w:r w:rsidRPr="00C12FC0">
              <w:rPr>
                <w:sz w:val="20"/>
                <w:szCs w:val="20"/>
              </w:rPr>
              <w:t xml:space="preserve"> of </w:t>
            </w:r>
            <w:r w:rsidR="001A1B44" w:rsidRPr="00C12FC0">
              <w:rPr>
                <w:b/>
                <w:sz w:val="20"/>
                <w:szCs w:val="20"/>
              </w:rPr>
              <w:fldChar w:fldCharType="begin"/>
            </w:r>
            <w:r w:rsidRPr="00C12FC0">
              <w:rPr>
                <w:b/>
                <w:sz w:val="20"/>
                <w:szCs w:val="20"/>
              </w:rPr>
              <w:instrText xml:space="preserve"> NUMPAGES  </w:instrText>
            </w:r>
            <w:r w:rsidR="001A1B44" w:rsidRPr="00C12FC0">
              <w:rPr>
                <w:b/>
                <w:sz w:val="20"/>
                <w:szCs w:val="20"/>
              </w:rPr>
              <w:fldChar w:fldCharType="separate"/>
            </w:r>
            <w:r w:rsidR="00721C8D">
              <w:rPr>
                <w:b/>
                <w:noProof/>
                <w:sz w:val="20"/>
                <w:szCs w:val="20"/>
              </w:rPr>
              <w:t>3</w:t>
            </w:r>
            <w:r w:rsidR="001A1B44" w:rsidRPr="00C12FC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C12FC0" w:rsidRDefault="00C12F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8BB" w:rsidRDefault="002C58BB" w:rsidP="00F351C8">
      <w:r>
        <w:separator/>
      </w:r>
    </w:p>
  </w:footnote>
  <w:footnote w:type="continuationSeparator" w:id="0">
    <w:p w:rsidR="002C58BB" w:rsidRDefault="002C58B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C0" w:rsidRPr="00C12FC0" w:rsidRDefault="00C12FC0">
    <w:pPr>
      <w:pStyle w:val="Header"/>
      <w:rPr>
        <w:sz w:val="20"/>
        <w:szCs w:val="20"/>
      </w:rPr>
    </w:pPr>
    <w:r w:rsidRPr="00C12FC0">
      <w:rPr>
        <w:sz w:val="20"/>
        <w:szCs w:val="20"/>
      </w:rPr>
      <w:t>Assessment Case:  CA-5 Plan of Action and Milestones</w:t>
    </w:r>
  </w:p>
  <w:p w:rsidR="00C12FC0" w:rsidRDefault="00C12F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612222"/>
    <w:multiLevelType w:val="hybridMultilevel"/>
    <w:tmpl w:val="52B433FE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445"/>
    <w:rsid w:val="00001700"/>
    <w:rsid w:val="00005197"/>
    <w:rsid w:val="00055E3F"/>
    <w:rsid w:val="00076E9C"/>
    <w:rsid w:val="000D39DD"/>
    <w:rsid w:val="000E3316"/>
    <w:rsid w:val="000F1240"/>
    <w:rsid w:val="00127B11"/>
    <w:rsid w:val="00135460"/>
    <w:rsid w:val="001409A9"/>
    <w:rsid w:val="00147DCA"/>
    <w:rsid w:val="00154E7F"/>
    <w:rsid w:val="0015686B"/>
    <w:rsid w:val="001A1B44"/>
    <w:rsid w:val="001B1445"/>
    <w:rsid w:val="001C20ED"/>
    <w:rsid w:val="001C3BD4"/>
    <w:rsid w:val="001D18B5"/>
    <w:rsid w:val="001D5075"/>
    <w:rsid w:val="001E37B4"/>
    <w:rsid w:val="001F28E0"/>
    <w:rsid w:val="002417FC"/>
    <w:rsid w:val="002716F6"/>
    <w:rsid w:val="002719BB"/>
    <w:rsid w:val="002761F3"/>
    <w:rsid w:val="0029266A"/>
    <w:rsid w:val="00295469"/>
    <w:rsid w:val="0029765A"/>
    <w:rsid w:val="002B3490"/>
    <w:rsid w:val="002C58BB"/>
    <w:rsid w:val="002F5405"/>
    <w:rsid w:val="002F6E98"/>
    <w:rsid w:val="002F7D86"/>
    <w:rsid w:val="003111F5"/>
    <w:rsid w:val="003252E9"/>
    <w:rsid w:val="003302F0"/>
    <w:rsid w:val="00353EF6"/>
    <w:rsid w:val="00375EBC"/>
    <w:rsid w:val="004269D9"/>
    <w:rsid w:val="00445C1A"/>
    <w:rsid w:val="004569C2"/>
    <w:rsid w:val="00496FCA"/>
    <w:rsid w:val="004A2BC3"/>
    <w:rsid w:val="004B526F"/>
    <w:rsid w:val="004D3621"/>
    <w:rsid w:val="004F7EFC"/>
    <w:rsid w:val="005073C2"/>
    <w:rsid w:val="00512353"/>
    <w:rsid w:val="0051624F"/>
    <w:rsid w:val="0052719C"/>
    <w:rsid w:val="00531A1C"/>
    <w:rsid w:val="0055491C"/>
    <w:rsid w:val="00575554"/>
    <w:rsid w:val="00594803"/>
    <w:rsid w:val="00596AF8"/>
    <w:rsid w:val="005D3ABD"/>
    <w:rsid w:val="005E0988"/>
    <w:rsid w:val="005F5232"/>
    <w:rsid w:val="005F621E"/>
    <w:rsid w:val="006037D1"/>
    <w:rsid w:val="00623080"/>
    <w:rsid w:val="0065175E"/>
    <w:rsid w:val="00691026"/>
    <w:rsid w:val="00694D9C"/>
    <w:rsid w:val="006E36E2"/>
    <w:rsid w:val="006E5739"/>
    <w:rsid w:val="006E5E43"/>
    <w:rsid w:val="006F3A36"/>
    <w:rsid w:val="00707F6C"/>
    <w:rsid w:val="007134C8"/>
    <w:rsid w:val="00721C8D"/>
    <w:rsid w:val="00735D81"/>
    <w:rsid w:val="007926D6"/>
    <w:rsid w:val="007D39C7"/>
    <w:rsid w:val="0081301E"/>
    <w:rsid w:val="00854526"/>
    <w:rsid w:val="00870562"/>
    <w:rsid w:val="0087767B"/>
    <w:rsid w:val="008C3AB6"/>
    <w:rsid w:val="008E5682"/>
    <w:rsid w:val="008F0AB1"/>
    <w:rsid w:val="008F10FE"/>
    <w:rsid w:val="008F3920"/>
    <w:rsid w:val="0090735A"/>
    <w:rsid w:val="00920EAA"/>
    <w:rsid w:val="00927DC8"/>
    <w:rsid w:val="00947959"/>
    <w:rsid w:val="009A2EFC"/>
    <w:rsid w:val="00A11918"/>
    <w:rsid w:val="00A1280C"/>
    <w:rsid w:val="00A27F02"/>
    <w:rsid w:val="00A45573"/>
    <w:rsid w:val="00A50FE4"/>
    <w:rsid w:val="00A76379"/>
    <w:rsid w:val="00A95A10"/>
    <w:rsid w:val="00AB6D47"/>
    <w:rsid w:val="00AD46A5"/>
    <w:rsid w:val="00AF6E52"/>
    <w:rsid w:val="00B042D7"/>
    <w:rsid w:val="00B370AB"/>
    <w:rsid w:val="00B50201"/>
    <w:rsid w:val="00B576E5"/>
    <w:rsid w:val="00B6655E"/>
    <w:rsid w:val="00B806D5"/>
    <w:rsid w:val="00BA589F"/>
    <w:rsid w:val="00BB37B9"/>
    <w:rsid w:val="00BD01DB"/>
    <w:rsid w:val="00BD3611"/>
    <w:rsid w:val="00BD5D44"/>
    <w:rsid w:val="00BE0A45"/>
    <w:rsid w:val="00BF63AB"/>
    <w:rsid w:val="00C12FC0"/>
    <w:rsid w:val="00C26D2E"/>
    <w:rsid w:val="00C34D23"/>
    <w:rsid w:val="00C3593F"/>
    <w:rsid w:val="00C52385"/>
    <w:rsid w:val="00C70011"/>
    <w:rsid w:val="00C72F37"/>
    <w:rsid w:val="00C761CE"/>
    <w:rsid w:val="00C84F6D"/>
    <w:rsid w:val="00CE0031"/>
    <w:rsid w:val="00CF242C"/>
    <w:rsid w:val="00D54FC9"/>
    <w:rsid w:val="00D81F13"/>
    <w:rsid w:val="00D94A21"/>
    <w:rsid w:val="00E22AC1"/>
    <w:rsid w:val="00E96347"/>
    <w:rsid w:val="00EA065A"/>
    <w:rsid w:val="00ED714F"/>
    <w:rsid w:val="00EF491E"/>
    <w:rsid w:val="00F15739"/>
    <w:rsid w:val="00F31535"/>
    <w:rsid w:val="00F351C8"/>
    <w:rsid w:val="00F53FB7"/>
    <w:rsid w:val="00F74EE0"/>
    <w:rsid w:val="00FA4837"/>
    <w:rsid w:val="00FD5942"/>
    <w:rsid w:val="00FF5713"/>
    <w:rsid w:val="00FF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001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0011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control-name">
    <w:name w:val="control-name"/>
    <w:basedOn w:val="Heading1"/>
    <w:link w:val="control-nameChar"/>
    <w:uiPriority w:val="99"/>
    <w:rsid w:val="00C70011"/>
    <w:pPr>
      <w:keepLines w:val="0"/>
      <w:spacing w:before="0" w:after="120"/>
    </w:pPr>
    <w:rPr>
      <w:rFonts w:ascii="Arial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uiPriority w:val="99"/>
    <w:locked/>
    <w:rsid w:val="00C70011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99"/>
    <w:rsid w:val="00C7001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351C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351C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BB37B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6D5"/>
    <w:rPr>
      <w:rFonts w:ascii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D5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6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62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432CE-A7A0-4D8B-B80B-7FD1C4A9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CASE</vt:lpstr>
    </vt:vector>
  </TitlesOfParts>
  <Company>NIST</Company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CASE</dc:title>
  <dc:subject/>
  <dc:creator>Arnold </dc:creator>
  <cp:keywords/>
  <dc:description/>
  <cp:lastModifiedBy>Arnold </cp:lastModifiedBy>
  <cp:revision>22</cp:revision>
  <cp:lastPrinted>2011-01-04T02:19:00Z</cp:lastPrinted>
  <dcterms:created xsi:type="dcterms:W3CDTF">2011-04-20T18:47:00Z</dcterms:created>
  <dcterms:modified xsi:type="dcterms:W3CDTF">2011-11-07T19:19:00Z</dcterms:modified>
</cp:coreProperties>
</file>