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4563A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4563A6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CONTINGENCY PLANNING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4563A6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4563A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4563A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4563A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4563A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4563A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4563A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4563A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4563A6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4563A6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17D94" w:rsidRDefault="00417D94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4563A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417D94" w:rsidRDefault="00417D94" w:rsidP="00417D94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4563A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4563A6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4563A6">
              <w:rPr>
                <w:i/>
                <w:sz w:val="20"/>
                <w:szCs w:val="20"/>
              </w:rPr>
              <w:t xml:space="preserve">contingency planning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4563A6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contingency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4563A6">
              <w:rPr>
                <w:rFonts w:ascii="Arial" w:hAnsi="Arial" w:cs="Arial"/>
                <w:iCs/>
                <w:sz w:val="16"/>
                <w:szCs w:val="16"/>
              </w:rPr>
              <w:t>contingency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00629A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4563A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4563A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05E95" w:rsidRDefault="00305E95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4563A6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4563A6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4563A6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4563A6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4563A6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4563A6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4563A6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4563A6">
              <w:rPr>
                <w:bCs/>
                <w:iCs/>
                <w:color w:val="000000"/>
                <w:sz w:val="18"/>
                <w:szCs w:val="18"/>
              </w:rPr>
              <w:t>contingency planning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4563A6">
              <w:rPr>
                <w:sz w:val="18"/>
                <w:szCs w:val="18"/>
              </w:rPr>
              <w:t>contingency planning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4563A6">
              <w:rPr>
                <w:bCs/>
                <w:iCs/>
                <w:color w:val="000000"/>
                <w:sz w:val="18"/>
                <w:szCs w:val="18"/>
              </w:rPr>
              <w:t>contingency planning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4563A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4563A6">
              <w:rPr>
                <w:sz w:val="18"/>
                <w:szCs w:val="18"/>
              </w:rPr>
              <w:t>contingency planning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4563A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4563A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4563A6">
              <w:rPr>
                <w:sz w:val="18"/>
                <w:szCs w:val="18"/>
              </w:rPr>
              <w:t>contingency planning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4563A6">
              <w:rPr>
                <w:sz w:val="18"/>
                <w:szCs w:val="18"/>
              </w:rPr>
              <w:t>contingency planning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4563A6">
              <w:rPr>
                <w:sz w:val="18"/>
                <w:szCs w:val="18"/>
              </w:rPr>
              <w:t>contingency planning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4563A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4563A6">
              <w:rPr>
                <w:bCs/>
                <w:iCs/>
                <w:color w:val="000000"/>
                <w:sz w:val="18"/>
                <w:szCs w:val="18"/>
              </w:rPr>
              <w:t>contingency planning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4563A6">
              <w:rPr>
                <w:sz w:val="18"/>
                <w:szCs w:val="18"/>
              </w:rPr>
              <w:t>contingency planning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4563A6">
              <w:rPr>
                <w:bCs/>
                <w:iCs/>
                <w:color w:val="000000"/>
                <w:sz w:val="18"/>
                <w:szCs w:val="18"/>
              </w:rPr>
              <w:t>contingency planning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4563A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4563A6">
              <w:rPr>
                <w:sz w:val="18"/>
                <w:szCs w:val="18"/>
              </w:rPr>
              <w:t>contingency planning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4563A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4563A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17D94" w:rsidRDefault="00417D94" w:rsidP="00417D94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4563A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4563A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4563A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4563A6">
              <w:rPr>
                <w:i/>
                <w:sz w:val="20"/>
                <w:szCs w:val="20"/>
              </w:rPr>
              <w:t>contingency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4563A6">
              <w:rPr>
                <w:rFonts w:ascii="Arial" w:hAnsi="Arial" w:cs="Arial"/>
                <w:iCs/>
                <w:sz w:val="16"/>
                <w:szCs w:val="16"/>
              </w:rPr>
              <w:t>contingency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4563A6">
              <w:rPr>
                <w:rFonts w:ascii="Arial" w:hAnsi="Arial" w:cs="Arial"/>
                <w:iCs/>
                <w:sz w:val="16"/>
                <w:szCs w:val="16"/>
              </w:rPr>
              <w:t>contingency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4563A6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4563A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4563A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4563A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4563A6">
              <w:rPr>
                <w:iCs/>
                <w:sz w:val="18"/>
                <w:szCs w:val="18"/>
              </w:rPr>
              <w:t>contingency planning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4563A6">
              <w:rPr>
                <w:iCs/>
                <w:sz w:val="18"/>
                <w:szCs w:val="18"/>
              </w:rPr>
              <w:t>CP-1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CB3" w:rsidRDefault="00D11CB3" w:rsidP="00F351C8">
      <w:r>
        <w:separator/>
      </w:r>
    </w:p>
  </w:endnote>
  <w:endnote w:type="continuationSeparator" w:id="0">
    <w:p w:rsidR="00D11CB3" w:rsidRDefault="00D11CB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6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563A6" w:rsidRDefault="004563A6">
            <w:pPr>
              <w:pStyle w:val="Footer"/>
              <w:jc w:val="center"/>
            </w:pPr>
            <w:r>
              <w:t>Initial Public Draft</w:t>
            </w:r>
          </w:p>
          <w:p w:rsidR="004563A6" w:rsidRDefault="004563A6">
            <w:pPr>
              <w:pStyle w:val="Footer"/>
              <w:jc w:val="center"/>
            </w:pPr>
            <w:r>
              <w:t xml:space="preserve">Page </w:t>
            </w:r>
            <w:r w:rsidR="00DB23A9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B23A9">
              <w:rPr>
                <w:b/>
              </w:rPr>
              <w:fldChar w:fldCharType="separate"/>
            </w:r>
            <w:r w:rsidR="0000629A">
              <w:rPr>
                <w:b/>
                <w:noProof/>
              </w:rPr>
              <w:t>3</w:t>
            </w:r>
            <w:r w:rsidR="00DB23A9">
              <w:rPr>
                <w:b/>
              </w:rPr>
              <w:fldChar w:fldCharType="end"/>
            </w:r>
            <w:r>
              <w:t xml:space="preserve"> of </w:t>
            </w:r>
            <w:r w:rsidR="00DB23A9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B23A9">
              <w:rPr>
                <w:b/>
              </w:rPr>
              <w:fldChar w:fldCharType="separate"/>
            </w:r>
            <w:r w:rsidR="0000629A">
              <w:rPr>
                <w:b/>
                <w:noProof/>
              </w:rPr>
              <w:t>3</w:t>
            </w:r>
            <w:r w:rsidR="00DB23A9">
              <w:rPr>
                <w:b/>
              </w:rPr>
              <w:fldChar w:fldCharType="end"/>
            </w:r>
          </w:p>
        </w:sdtContent>
      </w:sdt>
    </w:sdtContent>
  </w:sdt>
  <w:p w:rsidR="004563A6" w:rsidRDefault="00456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CB3" w:rsidRDefault="00D11CB3" w:rsidP="00F351C8">
      <w:r>
        <w:separator/>
      </w:r>
    </w:p>
  </w:footnote>
  <w:footnote w:type="continuationSeparator" w:id="0">
    <w:p w:rsidR="00D11CB3" w:rsidRDefault="00D11CB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A6" w:rsidRDefault="004563A6">
    <w:pPr>
      <w:pStyle w:val="Header"/>
    </w:pPr>
    <w:r>
      <w:t>Assessment Case:  CP-1 Contingency Planning Policy and Procedures</w:t>
    </w:r>
  </w:p>
  <w:p w:rsidR="004563A6" w:rsidRDefault="004563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629A"/>
    <w:rsid w:val="00016599"/>
    <w:rsid w:val="00080595"/>
    <w:rsid w:val="00087C79"/>
    <w:rsid w:val="000B68A4"/>
    <w:rsid w:val="000C7335"/>
    <w:rsid w:val="000F2196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86E79"/>
    <w:rsid w:val="002F157B"/>
    <w:rsid w:val="002F2E46"/>
    <w:rsid w:val="002F5405"/>
    <w:rsid w:val="002F6E98"/>
    <w:rsid w:val="00305E95"/>
    <w:rsid w:val="003111F5"/>
    <w:rsid w:val="003345F9"/>
    <w:rsid w:val="00334F4D"/>
    <w:rsid w:val="00357B91"/>
    <w:rsid w:val="00417D94"/>
    <w:rsid w:val="004563A6"/>
    <w:rsid w:val="004569C2"/>
    <w:rsid w:val="004817C8"/>
    <w:rsid w:val="004C294D"/>
    <w:rsid w:val="004C59F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9F0C4B"/>
    <w:rsid w:val="00A3708C"/>
    <w:rsid w:val="00A45573"/>
    <w:rsid w:val="00A81FC4"/>
    <w:rsid w:val="00AC4ABA"/>
    <w:rsid w:val="00AD46A5"/>
    <w:rsid w:val="00AF581F"/>
    <w:rsid w:val="00B02122"/>
    <w:rsid w:val="00B446F4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81B0E"/>
    <w:rsid w:val="00C95A05"/>
    <w:rsid w:val="00C971B9"/>
    <w:rsid w:val="00CA50B6"/>
    <w:rsid w:val="00CA5F8D"/>
    <w:rsid w:val="00CC6D47"/>
    <w:rsid w:val="00CE050C"/>
    <w:rsid w:val="00CE1AD8"/>
    <w:rsid w:val="00CE61F7"/>
    <w:rsid w:val="00D11CB3"/>
    <w:rsid w:val="00D32F54"/>
    <w:rsid w:val="00D50092"/>
    <w:rsid w:val="00DB23A9"/>
    <w:rsid w:val="00DD2BEF"/>
    <w:rsid w:val="00DD739F"/>
    <w:rsid w:val="00E13068"/>
    <w:rsid w:val="00E174F5"/>
    <w:rsid w:val="00E22AC1"/>
    <w:rsid w:val="00E45514"/>
    <w:rsid w:val="00E65FF3"/>
    <w:rsid w:val="00E85727"/>
    <w:rsid w:val="00E959FC"/>
    <w:rsid w:val="00ED0CC0"/>
    <w:rsid w:val="00F033C9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1ADBA-EC4B-46E1-9F8C-A8A86F62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2011-09-09T15:32:00Z</cp:lastPrinted>
  <dcterms:created xsi:type="dcterms:W3CDTF">2011-10-28T09:19:00Z</dcterms:created>
  <dcterms:modified xsi:type="dcterms:W3CDTF">2011-11-07T19:52:00Z</dcterms:modified>
</cp:coreProperties>
</file>