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1C63F0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73B2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73B2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1675F0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73B2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73B24" w:rsidRPr="00380A46" w:rsidRDefault="00073B24" w:rsidP="001C63F0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INCIDENT HANDLING</w:t>
            </w:r>
          </w:p>
        </w:tc>
      </w:tr>
      <w:tr w:rsidR="00073B24" w:rsidRPr="00D54FC9" w:rsidTr="00F351C8">
        <w:trPr>
          <w:cantSplit/>
        </w:trPr>
        <w:tc>
          <w:tcPr>
            <w:tcW w:w="1166" w:type="dxa"/>
          </w:tcPr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</w:p>
          <w:p w:rsidR="00420B5E" w:rsidRDefault="00420B5E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3B24" w:rsidRDefault="00073B24" w:rsidP="001C63F0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.1d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.1e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073B24" w:rsidRDefault="00073B24" w:rsidP="001C63F0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.3a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.3b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.3c</w:t>
            </w:r>
          </w:p>
          <w:p w:rsidR="00073B24" w:rsidRDefault="00073B24" w:rsidP="001C63F0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073B24" w:rsidRDefault="00073B24" w:rsidP="00073B2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implements an incident handling capability for security incidents that includes</w:t>
            </w:r>
            <w:r>
              <w:rPr>
                <w:bCs/>
                <w:i/>
                <w:iCs/>
                <w:sz w:val="20"/>
                <w:szCs w:val="20"/>
              </w:rPr>
              <w:t>:</w:t>
            </w:r>
          </w:p>
          <w:p w:rsidR="00073B24" w:rsidRPr="00045E82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preparation;</w:t>
            </w:r>
          </w:p>
          <w:p w:rsidR="00073B24" w:rsidRPr="00045E82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045E82">
              <w:rPr>
                <w:i/>
                <w:iCs/>
                <w:sz w:val="20"/>
                <w:szCs w:val="20"/>
              </w:rPr>
              <w:t>d</w:t>
            </w:r>
            <w:r>
              <w:rPr>
                <w:i/>
                <w:iCs/>
                <w:sz w:val="20"/>
                <w:szCs w:val="20"/>
              </w:rPr>
              <w:t>etection and analysis;</w:t>
            </w:r>
          </w:p>
          <w:p w:rsidR="00073B24" w:rsidRPr="00045E82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containment;</w:t>
            </w:r>
          </w:p>
          <w:p w:rsidR="00073B24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eradication; </w:t>
            </w:r>
            <w:r w:rsidRPr="00045E82">
              <w:rPr>
                <w:i/>
                <w:iCs/>
                <w:sz w:val="20"/>
                <w:szCs w:val="20"/>
              </w:rPr>
              <w:t>and</w:t>
            </w:r>
          </w:p>
          <w:p w:rsidR="00073B24" w:rsidRPr="00045E82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045E82">
              <w:rPr>
                <w:i/>
                <w:iCs/>
                <w:sz w:val="20"/>
                <w:szCs w:val="20"/>
              </w:rPr>
              <w:t>recovery</w:t>
            </w:r>
            <w:r w:rsidRPr="00045E82">
              <w:rPr>
                <w:bCs/>
                <w:i/>
                <w:iCs/>
                <w:sz w:val="20"/>
                <w:szCs w:val="20"/>
              </w:rPr>
              <w:t xml:space="preserve">; </w:t>
            </w:r>
          </w:p>
          <w:p w:rsidR="00073B24" w:rsidRPr="00380A46" w:rsidRDefault="00073B24" w:rsidP="00073B2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coordinates incident handling activities with contingency planning activities; and</w:t>
            </w:r>
          </w:p>
          <w:p w:rsidR="00073B24" w:rsidRDefault="00073B24" w:rsidP="00073B2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incorporates lessons learned from ongoing incid</w:t>
            </w:r>
            <w:r>
              <w:rPr>
                <w:i/>
                <w:iCs/>
                <w:sz w:val="20"/>
                <w:szCs w:val="20"/>
              </w:rPr>
              <w:t>ent handling activities into:</w:t>
            </w:r>
          </w:p>
          <w:p w:rsidR="00073B24" w:rsidRPr="006C186F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incident response procedures;</w:t>
            </w:r>
          </w:p>
          <w:p w:rsidR="00073B24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training;</w:t>
            </w:r>
            <w:r w:rsidRPr="006C186F">
              <w:rPr>
                <w:i/>
                <w:iCs/>
                <w:sz w:val="20"/>
                <w:szCs w:val="20"/>
              </w:rPr>
              <w:t xml:space="preserve"> and</w:t>
            </w:r>
          </w:p>
          <w:p w:rsidR="00073B24" w:rsidRPr="006C186F" w:rsidRDefault="00073B24" w:rsidP="00073B2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testing/exercises; </w:t>
            </w:r>
            <w:r w:rsidRPr="006C186F">
              <w:rPr>
                <w:i/>
                <w:iCs/>
                <w:sz w:val="20"/>
                <w:szCs w:val="20"/>
              </w:rPr>
              <w:t xml:space="preserve">and </w:t>
            </w:r>
          </w:p>
          <w:p w:rsidR="00073B24" w:rsidRPr="00380A46" w:rsidRDefault="00073B24" w:rsidP="00073B2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>
              <w:rPr>
                <w:i/>
                <w:iCs/>
                <w:sz w:val="20"/>
                <w:szCs w:val="20"/>
              </w:rPr>
              <w:t>the</w:t>
            </w:r>
            <w:proofErr w:type="gramEnd"/>
            <w:r>
              <w:rPr>
                <w:i/>
                <w:iCs/>
                <w:sz w:val="20"/>
                <w:szCs w:val="20"/>
              </w:rPr>
              <w:t xml:space="preserve"> organization </w:t>
            </w:r>
            <w:r w:rsidRPr="00380A46">
              <w:rPr>
                <w:i/>
                <w:iCs/>
                <w:sz w:val="20"/>
                <w:szCs w:val="20"/>
              </w:rPr>
              <w:t>implements the resulting changes</w:t>
            </w:r>
            <w:r>
              <w:rPr>
                <w:i/>
                <w:iCs/>
                <w:sz w:val="20"/>
                <w:szCs w:val="20"/>
              </w:rPr>
              <w:t xml:space="preserve"> to incident response procedures, training and testing/exercise </w:t>
            </w:r>
            <w:r w:rsidRPr="00380A46">
              <w:rPr>
                <w:i/>
                <w:iCs/>
                <w:sz w:val="20"/>
                <w:szCs w:val="20"/>
              </w:rPr>
              <w:t>accordingly</w:t>
            </w:r>
            <w:r w:rsidRPr="00380A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073B24" w:rsidRPr="005B76D6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B76D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3B24" w:rsidRPr="005B76D6" w:rsidRDefault="00073B24" w:rsidP="001C63F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B76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76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>Incident response policy; procedures addressing incident handling;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073B24" w:rsidRPr="005B76D6" w:rsidRDefault="00073B24" w:rsidP="001C63F0">
            <w:pPr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5B76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76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>Organizational personnel with incident handling responsibilities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organizational personnel with contingency planning responsibilities</w:t>
            </w:r>
            <w:r w:rsidRPr="005B76D6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073B24" w:rsidRPr="00380A46" w:rsidRDefault="00073B24" w:rsidP="001C63F0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5B76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B76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B76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Incident handling capability for the organization].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1C63F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1C63F0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1C63F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A196A">
              <w:rPr>
                <w:rFonts w:ascii="Arial" w:hAnsi="Arial" w:cs="Arial"/>
                <w:iCs/>
                <w:smallCaps/>
                <w:sz w:val="16"/>
                <w:szCs w:val="16"/>
              </w:rPr>
              <w:t>IR-8</w:t>
            </w:r>
            <w:r w:rsidR="007F1F0D">
              <w:rPr>
                <w:rFonts w:ascii="Arial" w:hAnsi="Arial" w:cs="Arial"/>
                <w:iCs/>
                <w:smallCaps/>
                <w:sz w:val="16"/>
                <w:szCs w:val="16"/>
              </w:rPr>
              <w:t>, SC-7</w:t>
            </w:r>
          </w:p>
          <w:p w:rsidR="00E22AC1" w:rsidRDefault="00C70011" w:rsidP="001C63F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941DB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</w:t>
            </w:r>
            <w:r w:rsidR="00AA32A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AU-7, AU-11, </w:t>
            </w:r>
            <w:r w:rsidR="00B11B7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5F151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IR-2, </w:t>
            </w:r>
            <w:r w:rsidR="00941DB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IR-3, IR-5, </w:t>
            </w:r>
            <w:r w:rsidR="005F151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IR-6, IR-7, </w:t>
            </w:r>
            <w:r w:rsidR="00941DB5">
              <w:rPr>
                <w:rFonts w:ascii="Arial" w:hAnsi="Arial" w:cs="Arial"/>
                <w:iCs/>
                <w:smallCaps/>
                <w:sz w:val="16"/>
                <w:szCs w:val="16"/>
              </w:rPr>
              <w:t>PE-6</w:t>
            </w:r>
            <w:r w:rsidR="005F151E">
              <w:rPr>
                <w:rFonts w:ascii="Arial" w:hAnsi="Arial" w:cs="Arial"/>
                <w:iCs/>
                <w:smallCaps/>
                <w:sz w:val="16"/>
                <w:szCs w:val="16"/>
              </w:rPr>
              <w:t>, SI-4</w:t>
            </w:r>
          </w:p>
          <w:p w:rsidR="00C70011" w:rsidRPr="005073C2" w:rsidRDefault="00C70011" w:rsidP="00941DB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41DB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</w:tbl>
    <w:p w:rsidR="001675F0" w:rsidRDefault="001675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C70011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1C63F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1C63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1675F0" w:rsidP="001C63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1675F0" w:rsidRPr="005073C2" w:rsidTr="00F351C8">
        <w:trPr>
          <w:cantSplit/>
        </w:trPr>
        <w:tc>
          <w:tcPr>
            <w:tcW w:w="1530" w:type="dxa"/>
          </w:tcPr>
          <w:p w:rsidR="001675F0" w:rsidRPr="005073C2" w:rsidRDefault="001675F0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1675F0" w:rsidRDefault="001675F0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1675F0" w:rsidRDefault="001675F0" w:rsidP="001675F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1675F0" w:rsidRPr="005C5B9C" w:rsidRDefault="001675F0" w:rsidP="001675F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1675F0" w:rsidRPr="005C5B9C" w:rsidRDefault="001675F0" w:rsidP="001675F0">
            <w:pPr>
              <w:pStyle w:val="ListParagraph"/>
              <w:numPr>
                <w:ilvl w:val="0"/>
                <w:numId w:val="18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111F5" w:rsidRDefault="00941DB5" w:rsidP="00941DB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127B11"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="00127B11"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  <w:p w:rsidR="00941DB5" w:rsidRDefault="00941DB5" w:rsidP="00941DB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41DB5" w:rsidRDefault="00941DB5" w:rsidP="001700E1">
            <w:pPr>
              <w:spacing w:before="2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1.a</w:t>
            </w:r>
          </w:p>
          <w:p w:rsidR="00941DB5" w:rsidRDefault="00941DB5" w:rsidP="001700E1">
            <w:pPr>
              <w:spacing w:before="12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1.b</w:t>
            </w:r>
          </w:p>
          <w:p w:rsidR="00941DB5" w:rsidRDefault="00941DB5" w:rsidP="00941DB5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1.c</w:t>
            </w:r>
          </w:p>
          <w:p w:rsidR="00941DB5" w:rsidRDefault="00941DB5" w:rsidP="001675F0">
            <w:pPr>
              <w:tabs>
                <w:tab w:val="left" w:pos="1296"/>
              </w:tabs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1.d</w:t>
            </w:r>
            <w:r w:rsidR="001675F0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941DB5" w:rsidRPr="00941DB5" w:rsidRDefault="00941DB5" w:rsidP="001700E1">
            <w:pPr>
              <w:spacing w:before="8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1.e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1DB5" w:rsidRPr="00941DB5" w:rsidRDefault="00941DB5" w:rsidP="001C63F0">
            <w:pPr>
              <w:spacing w:before="60" w:after="60"/>
              <w:rPr>
                <w:iCs/>
                <w:sz w:val="18"/>
                <w:szCs w:val="18"/>
              </w:rPr>
            </w:pPr>
            <w:r w:rsidRPr="00941DB5">
              <w:rPr>
                <w:b/>
                <w:iCs/>
                <w:sz w:val="18"/>
                <w:szCs w:val="18"/>
              </w:rPr>
              <w:t xml:space="preserve">Examine </w:t>
            </w:r>
            <w:r w:rsidRPr="00941DB5">
              <w:rPr>
                <w:iCs/>
                <w:sz w:val="18"/>
                <w:szCs w:val="18"/>
              </w:rPr>
              <w:t xml:space="preserve">incident response policy, procedures addressing </w:t>
            </w:r>
            <w:r w:rsidRPr="00DD3BEB">
              <w:rPr>
                <w:iCs/>
                <w:sz w:val="18"/>
                <w:szCs w:val="18"/>
              </w:rPr>
              <w:t>incident handling,</w:t>
            </w:r>
            <w:r w:rsidRPr="00941DB5">
              <w:rPr>
                <w:iCs/>
                <w:sz w:val="18"/>
                <w:szCs w:val="18"/>
              </w:rPr>
              <w:t xml:space="preserve"> </w:t>
            </w:r>
            <w:r w:rsidR="00937E8F">
              <w:rPr>
                <w:iCs/>
                <w:sz w:val="18"/>
                <w:szCs w:val="18"/>
              </w:rPr>
              <w:t xml:space="preserve">incident response plan, </w:t>
            </w:r>
            <w:r w:rsidRPr="00941DB5">
              <w:rPr>
                <w:iCs/>
                <w:sz w:val="18"/>
                <w:szCs w:val="18"/>
              </w:rPr>
              <w:t>or other relevant documents; [</w:t>
            </w:r>
            <w:r w:rsidRPr="00941DB5">
              <w:rPr>
                <w:i/>
                <w:iCs/>
                <w:sz w:val="18"/>
                <w:szCs w:val="18"/>
              </w:rPr>
              <w:t>reviewing</w:t>
            </w:r>
            <w:r w:rsidRPr="00941DB5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to be employed </w:t>
            </w:r>
            <w:r w:rsidR="006D0797">
              <w:rPr>
                <w:iCs/>
                <w:sz w:val="18"/>
                <w:szCs w:val="18"/>
              </w:rPr>
              <w:t>to implement an incident handling capability for security incidents that includes</w:t>
            </w:r>
            <w:r w:rsidRPr="00941DB5">
              <w:rPr>
                <w:iCs/>
                <w:sz w:val="18"/>
                <w:szCs w:val="18"/>
              </w:rPr>
              <w:t>:</w:t>
            </w:r>
          </w:p>
          <w:p w:rsidR="007F3A59" w:rsidRPr="007F3A59" w:rsidRDefault="007F3A59" w:rsidP="007F3A5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7F3A59">
              <w:rPr>
                <w:iCs/>
                <w:sz w:val="18"/>
                <w:szCs w:val="18"/>
              </w:rPr>
              <w:t>preparation;</w:t>
            </w:r>
          </w:p>
          <w:p w:rsidR="007F3A59" w:rsidRPr="007F3A59" w:rsidRDefault="007F3A59" w:rsidP="007F3A5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7F3A59">
              <w:rPr>
                <w:iCs/>
                <w:sz w:val="18"/>
                <w:szCs w:val="18"/>
              </w:rPr>
              <w:t>detection and analysis;</w:t>
            </w:r>
          </w:p>
          <w:p w:rsidR="007F3A59" w:rsidRPr="007F3A59" w:rsidRDefault="007F3A59" w:rsidP="007F3A5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7F3A59">
              <w:rPr>
                <w:iCs/>
                <w:sz w:val="18"/>
                <w:szCs w:val="18"/>
              </w:rPr>
              <w:t>containment;</w:t>
            </w:r>
          </w:p>
          <w:p w:rsidR="007F3A59" w:rsidRPr="007F3A59" w:rsidRDefault="007F3A59" w:rsidP="007F3A59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7F3A59">
              <w:rPr>
                <w:iCs/>
                <w:sz w:val="18"/>
                <w:szCs w:val="18"/>
              </w:rPr>
              <w:t>eradication; and</w:t>
            </w:r>
          </w:p>
          <w:p w:rsidR="003111F5" w:rsidRPr="00941DB5" w:rsidRDefault="007F3A59" w:rsidP="00C70A72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b/>
                <w:sz w:val="18"/>
                <w:szCs w:val="18"/>
              </w:rPr>
            </w:pPr>
            <w:r w:rsidRPr="007F3A59">
              <w:rPr>
                <w:iCs/>
                <w:sz w:val="18"/>
                <w:szCs w:val="18"/>
              </w:rPr>
              <w:t>recovery</w:t>
            </w:r>
            <w:r w:rsidR="001C63F0">
              <w:rPr>
                <w:iCs/>
                <w:sz w:val="18"/>
                <w:szCs w:val="18"/>
              </w:rPr>
              <w:t>.</w:t>
            </w:r>
            <w:r w:rsidRPr="007F3A59">
              <w:rPr>
                <w:bCs/>
                <w:iCs/>
                <w:sz w:val="18"/>
                <w:szCs w:val="18"/>
              </w:rPr>
              <w:t xml:space="preserve"> </w:t>
            </w:r>
          </w:p>
        </w:tc>
      </w:tr>
      <w:tr w:rsidR="00EC63A9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63A9" w:rsidRDefault="00EC63A9" w:rsidP="00C5678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63A9" w:rsidRPr="005C5897" w:rsidRDefault="00C05B58" w:rsidP="007B66C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handling records</w:t>
            </w:r>
            <w:r w:rsidR="00F62E1E">
              <w:rPr>
                <w:iCs/>
                <w:sz w:val="18"/>
                <w:szCs w:val="18"/>
              </w:rPr>
              <w:t xml:space="preserve"> and any problem records</w:t>
            </w:r>
            <w:r>
              <w:rPr>
                <w:iCs/>
                <w:sz w:val="18"/>
                <w:szCs w:val="18"/>
              </w:rPr>
              <w:t xml:space="preserve">, </w:t>
            </w:r>
            <w:r w:rsidR="00F62E1E">
              <w:rPr>
                <w:iCs/>
                <w:sz w:val="18"/>
                <w:szCs w:val="18"/>
              </w:rPr>
              <w:t xml:space="preserve">change control records, </w:t>
            </w:r>
            <w:r>
              <w:rPr>
                <w:iCs/>
                <w:sz w:val="18"/>
                <w:szCs w:val="18"/>
              </w:rPr>
              <w:t>incident response test/exercise records</w:t>
            </w:r>
            <w:r w:rsidR="00F62E1E">
              <w:rPr>
                <w:iCs/>
                <w:sz w:val="18"/>
                <w:szCs w:val="18"/>
              </w:rPr>
              <w:t>, or other relevant documents</w:t>
            </w:r>
            <w:r w:rsidR="0033433E">
              <w:rPr>
                <w:iCs/>
                <w:sz w:val="18"/>
                <w:szCs w:val="18"/>
              </w:rPr>
              <w:t xml:space="preserve"> associated with </w:t>
            </w:r>
            <w:r w:rsidR="00F62E1E">
              <w:rPr>
                <w:iCs/>
                <w:sz w:val="18"/>
                <w:szCs w:val="18"/>
              </w:rPr>
              <w:t>an agreed-upon [</w:t>
            </w:r>
            <w:r w:rsidR="00F62E1E">
              <w:rPr>
                <w:i/>
                <w:iCs/>
                <w:sz w:val="18"/>
                <w:szCs w:val="18"/>
              </w:rPr>
              <w:t>basic</w:t>
            </w:r>
            <w:r w:rsidR="00F62E1E">
              <w:rPr>
                <w:iCs/>
                <w:sz w:val="18"/>
                <w:szCs w:val="18"/>
              </w:rPr>
              <w:t>] sample of</w:t>
            </w:r>
            <w:r w:rsidR="00644D74">
              <w:rPr>
                <w:iCs/>
                <w:sz w:val="18"/>
                <w:szCs w:val="18"/>
              </w:rPr>
              <w:t xml:space="preserve"> s</w:t>
            </w:r>
            <w:r w:rsidR="00F62E1E">
              <w:rPr>
                <w:iCs/>
                <w:sz w:val="18"/>
                <w:szCs w:val="18"/>
              </w:rPr>
              <w:t>ecurity incidents</w:t>
            </w:r>
            <w:r w:rsidR="007B66CC">
              <w:rPr>
                <w:iCs/>
                <w:sz w:val="18"/>
                <w:szCs w:val="18"/>
              </w:rPr>
              <w:t xml:space="preserve"> for the information system</w:t>
            </w:r>
            <w:r>
              <w:rPr>
                <w:iCs/>
                <w:sz w:val="18"/>
                <w:szCs w:val="18"/>
              </w:rPr>
              <w:t>; [reviewing] for evidence that the measures identified in IR-4.1.1.1</w:t>
            </w:r>
            <w:r w:rsidR="007B66CC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 are being </w:t>
            </w:r>
            <w:r w:rsidR="007B66CC">
              <w:rPr>
                <w:iCs/>
                <w:sz w:val="18"/>
                <w:szCs w:val="18"/>
              </w:rPr>
              <w:t>applied to prepare for security incidents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4447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44475" w:rsidRDefault="00E44475" w:rsidP="00C5678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4475" w:rsidRDefault="00E44475" w:rsidP="00EC050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handling records and any problem records, change control records, incident response test/exercise records, or other relevant documents associated with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incidents identified for the information system; [</w:t>
            </w:r>
            <w:r w:rsidRPr="00E4447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IR-4.1.1.1.</w:t>
            </w:r>
            <w:r w:rsidR="00EC050D">
              <w:rPr>
                <w:iCs/>
                <w:sz w:val="18"/>
                <w:szCs w:val="18"/>
              </w:rPr>
              <w:t>b</w:t>
            </w:r>
            <w:r>
              <w:rPr>
                <w:iCs/>
                <w:sz w:val="18"/>
                <w:szCs w:val="18"/>
              </w:rPr>
              <w:t xml:space="preserve"> are being applied to </w:t>
            </w:r>
            <w:r w:rsidR="00EC050D">
              <w:rPr>
                <w:iCs/>
                <w:sz w:val="18"/>
                <w:szCs w:val="18"/>
              </w:rPr>
              <w:t xml:space="preserve">detect and analyze </w:t>
            </w:r>
            <w:r>
              <w:rPr>
                <w:iCs/>
                <w:sz w:val="18"/>
                <w:szCs w:val="18"/>
              </w:rPr>
              <w:t>security incidents.</w:t>
            </w:r>
          </w:p>
        </w:tc>
      </w:tr>
      <w:tr w:rsidR="00E4447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44475" w:rsidRDefault="00E44475" w:rsidP="00C5678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IR-4.1.1.4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4475" w:rsidRDefault="00E44475" w:rsidP="00EC050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handling records and any problem records, change control records, incident response test/exercise records, or other relevant documents associated with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incidents identified for the information system; [</w:t>
            </w:r>
            <w:r w:rsidRPr="00E4447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IR-4.1.1.1.</w:t>
            </w:r>
            <w:r w:rsidR="00EC050D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 xml:space="preserve"> are being applied to </w:t>
            </w:r>
            <w:r w:rsidR="00EC050D">
              <w:rPr>
                <w:iCs/>
                <w:sz w:val="18"/>
                <w:szCs w:val="18"/>
              </w:rPr>
              <w:t xml:space="preserve">contain </w:t>
            </w:r>
            <w:r>
              <w:rPr>
                <w:iCs/>
                <w:sz w:val="18"/>
                <w:szCs w:val="18"/>
              </w:rPr>
              <w:t>security incidents.</w:t>
            </w:r>
          </w:p>
        </w:tc>
      </w:tr>
      <w:tr w:rsidR="00E4447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44475" w:rsidRDefault="00E44475" w:rsidP="00C5678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IR-4.1.1.5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4475" w:rsidRDefault="00E44475" w:rsidP="00EC050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handling records and any problem records, change control records, incident response test/exercise records, or other relevant documents associated with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incidents identified for the information system; [</w:t>
            </w:r>
            <w:r w:rsidRPr="00EC050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IR-4.1.1.1.</w:t>
            </w:r>
            <w:r w:rsidR="00EC050D">
              <w:rPr>
                <w:iCs/>
                <w:sz w:val="18"/>
                <w:szCs w:val="18"/>
              </w:rPr>
              <w:t>d</w:t>
            </w:r>
            <w:r>
              <w:rPr>
                <w:iCs/>
                <w:sz w:val="18"/>
                <w:szCs w:val="18"/>
              </w:rPr>
              <w:t xml:space="preserve"> are being applied to </w:t>
            </w:r>
            <w:r w:rsidR="00EC050D">
              <w:rPr>
                <w:iCs/>
                <w:sz w:val="18"/>
                <w:szCs w:val="18"/>
              </w:rPr>
              <w:t xml:space="preserve">eradicate </w:t>
            </w:r>
            <w:r>
              <w:rPr>
                <w:iCs/>
                <w:sz w:val="18"/>
                <w:szCs w:val="18"/>
              </w:rPr>
              <w:t>security incidents.</w:t>
            </w:r>
          </w:p>
        </w:tc>
      </w:tr>
      <w:tr w:rsidR="00E4447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44475" w:rsidRDefault="00E44475" w:rsidP="00C56784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IR-4.1.1.6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4475" w:rsidRDefault="00E44475" w:rsidP="005D0F59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incident handling records and any problem records, change control records, incident response test/exercise records, or other relevant documents associated with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 incidents for the information system; [reviewing] for evidence that the measures identified in IR-4.1.1.1.</w:t>
            </w:r>
            <w:r w:rsidR="005D0F59">
              <w:rPr>
                <w:iCs/>
                <w:sz w:val="18"/>
                <w:szCs w:val="18"/>
              </w:rPr>
              <w:t xml:space="preserve">e </w:t>
            </w:r>
            <w:r>
              <w:rPr>
                <w:iCs/>
                <w:sz w:val="18"/>
                <w:szCs w:val="18"/>
              </w:rPr>
              <w:t xml:space="preserve">are being applied to </w:t>
            </w:r>
            <w:r w:rsidR="005D0F59">
              <w:rPr>
                <w:iCs/>
                <w:sz w:val="18"/>
                <w:szCs w:val="18"/>
              </w:rPr>
              <w:t xml:space="preserve">recover from </w:t>
            </w:r>
            <w:r>
              <w:rPr>
                <w:iCs/>
                <w:sz w:val="18"/>
                <w:szCs w:val="18"/>
              </w:rPr>
              <w:t>security incidents.</w:t>
            </w:r>
          </w:p>
        </w:tc>
      </w:tr>
      <w:tr w:rsidR="00EC63A9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63A9" w:rsidRDefault="00EC63A9" w:rsidP="006604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66048F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63A9" w:rsidRPr="005C5897" w:rsidRDefault="00C05B58" w:rsidP="0066048F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66048F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>of organizational personnel with incident handling responsibilities;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evidence that the measures identified in IR-4.1.1.1 are being </w:t>
            </w:r>
            <w:r w:rsidR="0066048F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EC63A9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EC63A9" w:rsidRDefault="00EC63A9" w:rsidP="006604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66048F"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C63A9" w:rsidRPr="005C5897" w:rsidRDefault="00C05B58" w:rsidP="00CE681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E681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incident handling capabilit</w:t>
            </w:r>
            <w:r w:rsidR="0066048F">
              <w:rPr>
                <w:iCs/>
                <w:sz w:val="18"/>
                <w:szCs w:val="18"/>
              </w:rPr>
              <w:t>y</w:t>
            </w:r>
            <w:r w:rsidR="00CE6812">
              <w:rPr>
                <w:iCs/>
                <w:sz w:val="18"/>
                <w:szCs w:val="18"/>
              </w:rPr>
              <w:t xml:space="preserve"> identified in IR-4.1.1.1 using </w:t>
            </w:r>
            <w:r w:rsidR="0066048F">
              <w:rPr>
                <w:iCs/>
                <w:sz w:val="18"/>
                <w:szCs w:val="18"/>
              </w:rPr>
              <w:t>an agreed-upon [</w:t>
            </w:r>
            <w:r w:rsidR="0066048F" w:rsidRPr="0066048F">
              <w:rPr>
                <w:i/>
                <w:iCs/>
                <w:sz w:val="18"/>
                <w:szCs w:val="18"/>
              </w:rPr>
              <w:t>basic</w:t>
            </w:r>
            <w:r w:rsidR="0066048F">
              <w:rPr>
                <w:iCs/>
                <w:sz w:val="18"/>
                <w:szCs w:val="18"/>
              </w:rPr>
              <w:t>] sample of simulated events or conditions</w:t>
            </w:r>
            <w:r>
              <w:rPr>
                <w:iCs/>
                <w:sz w:val="18"/>
                <w:szCs w:val="18"/>
              </w:rPr>
              <w:t>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 measures identified in IR-4.1.1.1</w:t>
            </w:r>
            <w:r w:rsidR="00CE6812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 are being </w:t>
            </w:r>
            <w:r w:rsidR="00CE6812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 xml:space="preserve"> as intended</w:t>
            </w:r>
            <w:r w:rsidR="00CE6812">
              <w:rPr>
                <w:iCs/>
                <w:sz w:val="18"/>
                <w:szCs w:val="18"/>
              </w:rPr>
              <w:t xml:space="preserve"> to prepare for security incidents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CE6812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E6812" w:rsidRDefault="00CE6812" w:rsidP="006604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IR-4.1.1.9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E6812" w:rsidRDefault="00CE6812" w:rsidP="00CE681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the incident handling capability identified in IR-4.1.1.1 using an agreed-upon [</w:t>
            </w:r>
            <w:r w:rsidRPr="0066048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simulated events or conditions;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 measures identified in IR-4.1.1.1.b are being applied as intended to detect and analyze security incidents.</w:t>
            </w:r>
          </w:p>
        </w:tc>
      </w:tr>
      <w:tr w:rsidR="00CE6812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E6812" w:rsidRDefault="00CE6812" w:rsidP="006604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IR-4.1.1.10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E6812" w:rsidRDefault="00CE6812" w:rsidP="00A312C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the incident handling capability identified in IR-4.1.1.1 using an agreed-upon [</w:t>
            </w:r>
            <w:r w:rsidRPr="0066048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simulated events or conditions;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 measures identified in IR-4.1.1.1.</w:t>
            </w:r>
            <w:r w:rsidR="00A312C6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 xml:space="preserve"> are being applied as intended to </w:t>
            </w:r>
            <w:r w:rsidR="00A312C6">
              <w:rPr>
                <w:iCs/>
                <w:sz w:val="18"/>
                <w:szCs w:val="18"/>
              </w:rPr>
              <w:t xml:space="preserve">contain </w:t>
            </w:r>
            <w:r>
              <w:rPr>
                <w:iCs/>
                <w:sz w:val="18"/>
                <w:szCs w:val="18"/>
              </w:rPr>
              <w:t>security incidents.</w:t>
            </w:r>
          </w:p>
        </w:tc>
      </w:tr>
      <w:tr w:rsidR="00CE6812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E6812" w:rsidRDefault="00CE6812" w:rsidP="006604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IR-4.1.1.11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E6812" w:rsidRDefault="00CE6812" w:rsidP="00A312C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the incident handling capability identified in IR-4.1.1.1 using an agreed-upon [</w:t>
            </w:r>
            <w:r w:rsidRPr="0066048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simulated events or conditions;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 measures identified in IR-4.1.1.1.</w:t>
            </w:r>
            <w:r w:rsidR="00A312C6">
              <w:rPr>
                <w:iCs/>
                <w:sz w:val="18"/>
                <w:szCs w:val="18"/>
              </w:rPr>
              <w:t>d</w:t>
            </w:r>
            <w:r>
              <w:rPr>
                <w:iCs/>
                <w:sz w:val="18"/>
                <w:szCs w:val="18"/>
              </w:rPr>
              <w:t xml:space="preserve"> are being applied as intended to </w:t>
            </w:r>
            <w:r w:rsidR="00A312C6">
              <w:rPr>
                <w:iCs/>
                <w:sz w:val="18"/>
                <w:szCs w:val="18"/>
              </w:rPr>
              <w:t xml:space="preserve">eradicate </w:t>
            </w:r>
            <w:r>
              <w:rPr>
                <w:iCs/>
                <w:sz w:val="18"/>
                <w:szCs w:val="18"/>
              </w:rPr>
              <w:t>security incidents.</w:t>
            </w:r>
          </w:p>
        </w:tc>
      </w:tr>
      <w:tr w:rsidR="00CE6812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CE6812" w:rsidRDefault="00CE6812" w:rsidP="006604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IR-4.1.1.12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E6812" w:rsidRDefault="00CE6812" w:rsidP="00A312C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the incident handling capability identified in IR-4.1.1.1 using an agreed-upon [</w:t>
            </w:r>
            <w:r w:rsidRPr="0066048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simulated events or conditions; conducting [</w:t>
            </w:r>
            <w:r w:rsidRPr="00C05B5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 measures identified in IR-4.1.1.1.</w:t>
            </w:r>
            <w:r w:rsidR="00A312C6">
              <w:rPr>
                <w:iCs/>
                <w:sz w:val="18"/>
                <w:szCs w:val="18"/>
              </w:rPr>
              <w:t>e</w:t>
            </w:r>
            <w:r>
              <w:rPr>
                <w:iCs/>
                <w:sz w:val="18"/>
                <w:szCs w:val="18"/>
              </w:rPr>
              <w:t xml:space="preserve"> are being applied as intended to </w:t>
            </w:r>
            <w:r w:rsidR="00A312C6">
              <w:rPr>
                <w:iCs/>
                <w:sz w:val="18"/>
                <w:szCs w:val="18"/>
              </w:rPr>
              <w:t xml:space="preserve">recover from </w:t>
            </w:r>
            <w:r>
              <w:rPr>
                <w:iCs/>
                <w:sz w:val="18"/>
                <w:szCs w:val="18"/>
              </w:rPr>
              <w:t>security incidents.</w:t>
            </w:r>
          </w:p>
        </w:tc>
      </w:tr>
      <w:tr w:rsidR="001675F0" w:rsidRPr="004F7EFC" w:rsidTr="001675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5F0" w:rsidRDefault="001675F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5F0" w:rsidRPr="008D7BED" w:rsidRDefault="001675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3111F5" w:rsidRPr="00941DB5" w:rsidRDefault="00B11B70" w:rsidP="00C56784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C72F37"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="00C72F37"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C56784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C72F37"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C5678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C56784" w:rsidP="00C56784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Examine </w:t>
            </w:r>
            <w:r w:rsidRPr="00580FB8">
              <w:rPr>
                <w:iCs/>
                <w:sz w:val="18"/>
                <w:szCs w:val="18"/>
              </w:rPr>
              <w:t>incident response policy</w:t>
            </w:r>
            <w:r>
              <w:rPr>
                <w:iCs/>
                <w:sz w:val="18"/>
                <w:szCs w:val="18"/>
              </w:rPr>
              <w:t>,</w:t>
            </w:r>
            <w:r w:rsidRPr="00580FB8">
              <w:rPr>
                <w:iCs/>
                <w:sz w:val="18"/>
                <w:szCs w:val="18"/>
              </w:rPr>
              <w:t xml:space="preserve"> contingency planning policy, </w:t>
            </w:r>
            <w:r>
              <w:rPr>
                <w:iCs/>
                <w:sz w:val="18"/>
                <w:szCs w:val="18"/>
              </w:rPr>
              <w:t xml:space="preserve">procedures addressing incident handling, procedures addressing contingency operations, incident response plan, contingency plan, </w:t>
            </w:r>
            <w:r w:rsidRPr="00580FB8">
              <w:rPr>
                <w:iCs/>
                <w:sz w:val="18"/>
                <w:szCs w:val="18"/>
              </w:rPr>
              <w:t>or other relevant documents; [</w:t>
            </w:r>
            <w:r w:rsidRPr="00580FB8">
              <w:rPr>
                <w:i/>
                <w:iCs/>
                <w:sz w:val="18"/>
                <w:szCs w:val="18"/>
              </w:rPr>
              <w:t>reviewing</w:t>
            </w:r>
            <w:r w:rsidRPr="00580FB8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580FB8">
              <w:rPr>
                <w:iCs/>
                <w:sz w:val="18"/>
                <w:szCs w:val="18"/>
              </w:rPr>
              <w:t xml:space="preserve"> coordinat</w:t>
            </w:r>
            <w:r>
              <w:rPr>
                <w:iCs/>
                <w:sz w:val="18"/>
                <w:szCs w:val="18"/>
              </w:rPr>
              <w:t xml:space="preserve">e </w:t>
            </w:r>
            <w:r w:rsidRPr="00580FB8">
              <w:rPr>
                <w:iCs/>
                <w:sz w:val="18"/>
                <w:szCs w:val="18"/>
              </w:rPr>
              <w:t>incident handling activities</w:t>
            </w:r>
            <w:r>
              <w:rPr>
                <w:iCs/>
                <w:sz w:val="18"/>
                <w:szCs w:val="18"/>
              </w:rPr>
              <w:t xml:space="preserve"> with contingency planning activities</w:t>
            </w:r>
            <w:r w:rsidRPr="00580FB8">
              <w:rPr>
                <w:iCs/>
                <w:sz w:val="18"/>
                <w:szCs w:val="18"/>
              </w:rPr>
              <w:t>.</w:t>
            </w:r>
          </w:p>
        </w:tc>
      </w:tr>
      <w:tr w:rsidR="00B11B7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11B70" w:rsidRPr="00941DB5" w:rsidRDefault="00C56784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1B70" w:rsidRPr="002F5405" w:rsidRDefault="00C56784" w:rsidP="006E2AE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meeting minutes, meeting agendas, status reports, or other relevant documents associated with coordinating </w:t>
            </w:r>
            <w:r w:rsidR="006E2AE0">
              <w:rPr>
                <w:iCs/>
                <w:sz w:val="18"/>
                <w:szCs w:val="18"/>
              </w:rPr>
              <w:t xml:space="preserve">incident handling and </w:t>
            </w:r>
            <w:r>
              <w:rPr>
                <w:iCs/>
                <w:sz w:val="18"/>
                <w:szCs w:val="18"/>
              </w:rPr>
              <w:t>contingency planning</w:t>
            </w:r>
            <w:r w:rsidR="006E2AE0">
              <w:rPr>
                <w:iCs/>
                <w:sz w:val="18"/>
                <w:szCs w:val="18"/>
              </w:rPr>
              <w:t xml:space="preserve"> activities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6E2AE0">
              <w:rPr>
                <w:iCs/>
                <w:sz w:val="18"/>
                <w:szCs w:val="18"/>
              </w:rPr>
              <w:t>IR</w:t>
            </w:r>
            <w:r>
              <w:rPr>
                <w:iCs/>
                <w:sz w:val="18"/>
                <w:szCs w:val="18"/>
              </w:rPr>
              <w:t>-</w:t>
            </w:r>
            <w:r w:rsidR="006E2AE0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.</w:t>
            </w:r>
            <w:r w:rsidR="006E2AE0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</w:t>
            </w:r>
            <w:r w:rsidR="006E2AE0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B11B7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11B70" w:rsidRPr="00941DB5" w:rsidRDefault="00C56784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941DB5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1B70" w:rsidRPr="002F5405" w:rsidRDefault="00C56784" w:rsidP="00C169A6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5C5897">
              <w:rPr>
                <w:b/>
                <w:iCs/>
                <w:sz w:val="18"/>
                <w:szCs w:val="18"/>
              </w:rPr>
              <w:t xml:space="preserve">Interview </w:t>
            </w:r>
            <w:r w:rsidRPr="00580FB8">
              <w:rPr>
                <w:iCs/>
                <w:sz w:val="18"/>
                <w:szCs w:val="18"/>
              </w:rPr>
              <w:t>an agreed-upon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580FB8">
              <w:rPr>
                <w:iCs/>
                <w:sz w:val="18"/>
                <w:szCs w:val="18"/>
              </w:rPr>
              <w:t xml:space="preserve">of organizational personnel with </w:t>
            </w:r>
            <w:r w:rsidR="00C169A6">
              <w:rPr>
                <w:iCs/>
                <w:sz w:val="18"/>
                <w:szCs w:val="18"/>
              </w:rPr>
              <w:t xml:space="preserve">incident handling </w:t>
            </w:r>
            <w:r w:rsidRPr="00580FB8">
              <w:rPr>
                <w:iCs/>
                <w:sz w:val="18"/>
                <w:szCs w:val="18"/>
              </w:rPr>
              <w:t>responsibilities</w:t>
            </w:r>
            <w:r>
              <w:rPr>
                <w:iCs/>
                <w:sz w:val="18"/>
                <w:szCs w:val="18"/>
              </w:rPr>
              <w:t xml:space="preserve"> and organizational personnel with </w:t>
            </w:r>
            <w:r w:rsidR="00C169A6" w:rsidRPr="00580FB8">
              <w:rPr>
                <w:iCs/>
                <w:sz w:val="18"/>
                <w:szCs w:val="18"/>
              </w:rPr>
              <w:t>contingency planning</w:t>
            </w:r>
            <w:r w:rsidR="00C169A6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responsibilities</w:t>
            </w:r>
            <w:r w:rsidRPr="00580FB8">
              <w:rPr>
                <w:iCs/>
                <w:sz w:val="18"/>
                <w:szCs w:val="18"/>
              </w:rPr>
              <w:t>; conducting [</w:t>
            </w:r>
            <w:r w:rsidRPr="00580FB8">
              <w:rPr>
                <w:i/>
                <w:iCs/>
                <w:sz w:val="18"/>
                <w:szCs w:val="18"/>
              </w:rPr>
              <w:t>basic</w:t>
            </w:r>
            <w:r w:rsidRPr="00580FB8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580FB8">
              <w:rPr>
                <w:iCs/>
                <w:sz w:val="18"/>
                <w:szCs w:val="18"/>
              </w:rPr>
              <w:t xml:space="preserve">evidence that </w:t>
            </w:r>
            <w:r>
              <w:rPr>
                <w:iCs/>
                <w:sz w:val="18"/>
                <w:szCs w:val="18"/>
              </w:rPr>
              <w:t xml:space="preserve">the measures identified in </w:t>
            </w:r>
            <w:r w:rsidR="006E2AE0">
              <w:rPr>
                <w:iCs/>
                <w:sz w:val="18"/>
                <w:szCs w:val="18"/>
              </w:rPr>
              <w:t>IR-4.1.2.1</w:t>
            </w:r>
            <w:r>
              <w:rPr>
                <w:iCs/>
                <w:sz w:val="18"/>
                <w:szCs w:val="18"/>
              </w:rPr>
              <w:t xml:space="preserve"> are being applied to coordinate </w:t>
            </w:r>
            <w:r w:rsidR="00C169A6" w:rsidRPr="00580FB8">
              <w:rPr>
                <w:iCs/>
                <w:sz w:val="18"/>
                <w:szCs w:val="18"/>
              </w:rPr>
              <w:t xml:space="preserve">incident handling activities </w:t>
            </w:r>
            <w:r w:rsidR="00C169A6">
              <w:rPr>
                <w:iCs/>
                <w:sz w:val="18"/>
                <w:szCs w:val="18"/>
              </w:rPr>
              <w:t xml:space="preserve">with </w:t>
            </w:r>
            <w:r w:rsidRPr="00580FB8">
              <w:rPr>
                <w:iCs/>
                <w:sz w:val="18"/>
                <w:szCs w:val="18"/>
              </w:rPr>
              <w:t>contingency planning activities.</w:t>
            </w:r>
          </w:p>
        </w:tc>
      </w:tr>
      <w:tr w:rsidR="001675F0" w:rsidRPr="005073C2" w:rsidTr="001675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5F0" w:rsidRDefault="001675F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5F0" w:rsidRPr="008D7BED" w:rsidRDefault="001675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11B70" w:rsidRPr="004E0C83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11B70" w:rsidRPr="004E0C83" w:rsidRDefault="006C7961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E0C83">
              <w:rPr>
                <w:rFonts w:ascii="Arial" w:hAnsi="Arial" w:cs="Arial"/>
                <w:b/>
                <w:iCs/>
                <w:sz w:val="16"/>
                <w:szCs w:val="16"/>
              </w:rPr>
              <w:t>IR-4.1.3.1</w:t>
            </w:r>
          </w:p>
          <w:p w:rsidR="006C7961" w:rsidRDefault="006C7961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6C7961" w:rsidRPr="00DD3BEB" w:rsidRDefault="006C7961" w:rsidP="00FE42F7">
            <w:pPr>
              <w:spacing w:before="2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3BEB">
              <w:rPr>
                <w:rFonts w:ascii="Arial" w:hAnsi="Arial" w:cs="Arial"/>
                <w:b/>
                <w:iCs/>
                <w:sz w:val="16"/>
                <w:szCs w:val="16"/>
              </w:rPr>
              <w:t>IR-4.1.3.1.a</w:t>
            </w:r>
          </w:p>
          <w:p w:rsidR="006C7961" w:rsidRPr="00DD3BEB" w:rsidRDefault="006C7961" w:rsidP="00FE42F7">
            <w:pPr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3BEB">
              <w:rPr>
                <w:rFonts w:ascii="Arial" w:hAnsi="Arial" w:cs="Arial"/>
                <w:b/>
                <w:iCs/>
                <w:sz w:val="16"/>
                <w:szCs w:val="16"/>
              </w:rPr>
              <w:t>IR-4.1.3.1.b</w:t>
            </w:r>
          </w:p>
          <w:p w:rsidR="006C7961" w:rsidRPr="004E0C83" w:rsidRDefault="006C7961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D3BEB">
              <w:rPr>
                <w:rFonts w:ascii="Arial" w:hAnsi="Arial" w:cs="Arial"/>
                <w:b/>
                <w:iCs/>
                <w:sz w:val="16"/>
                <w:szCs w:val="16"/>
              </w:rPr>
              <w:t>IR-4.1.3.1.c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4E0C83" w:rsidRPr="004E0C83" w:rsidRDefault="004E0C83" w:rsidP="004E0C83">
            <w:pPr>
              <w:spacing w:before="60" w:after="60"/>
              <w:rPr>
                <w:iCs/>
                <w:sz w:val="18"/>
                <w:szCs w:val="18"/>
              </w:rPr>
            </w:pPr>
            <w:r w:rsidRPr="004E0C83">
              <w:rPr>
                <w:b/>
                <w:iCs/>
                <w:sz w:val="18"/>
                <w:szCs w:val="18"/>
              </w:rPr>
              <w:t xml:space="preserve">Examine </w:t>
            </w:r>
            <w:r w:rsidR="00961D0A">
              <w:rPr>
                <w:iCs/>
                <w:sz w:val="18"/>
                <w:szCs w:val="18"/>
              </w:rPr>
              <w:t>incident response policy, procedures addressing incident handling, incident response plan, or other relevant documents</w:t>
            </w:r>
            <w:r w:rsidRPr="004E0C83">
              <w:rPr>
                <w:iCs/>
                <w:sz w:val="18"/>
                <w:szCs w:val="18"/>
              </w:rPr>
              <w:t xml:space="preserve">; </w:t>
            </w:r>
            <w:r w:rsidR="00626203">
              <w:rPr>
                <w:iCs/>
                <w:sz w:val="18"/>
                <w:szCs w:val="18"/>
              </w:rPr>
              <w:t>[</w:t>
            </w:r>
            <w:r w:rsidR="00626203">
              <w:rPr>
                <w:i/>
                <w:iCs/>
                <w:sz w:val="18"/>
                <w:szCs w:val="18"/>
              </w:rPr>
              <w:t>reviewing</w:t>
            </w:r>
            <w:r w:rsidR="00626203">
              <w:rPr>
                <w:iCs/>
                <w:sz w:val="18"/>
                <w:szCs w:val="18"/>
              </w:rPr>
              <w:t xml:space="preserve">] for </w:t>
            </w:r>
            <w:r w:rsidR="001C63F0">
              <w:rPr>
                <w:iCs/>
                <w:sz w:val="18"/>
                <w:szCs w:val="18"/>
              </w:rPr>
              <w:t>the measures to be employed to</w:t>
            </w:r>
            <w:r w:rsidR="00626203">
              <w:rPr>
                <w:iCs/>
                <w:sz w:val="18"/>
                <w:szCs w:val="18"/>
              </w:rPr>
              <w:t xml:space="preserve"> incorporate lessons learned from ongoing incident handling activities into:</w:t>
            </w:r>
          </w:p>
          <w:p w:rsidR="00076953" w:rsidRPr="00076953" w:rsidRDefault="00BF762A" w:rsidP="0007695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BF762A">
              <w:rPr>
                <w:iCs/>
                <w:sz w:val="18"/>
                <w:szCs w:val="18"/>
              </w:rPr>
              <w:t>incident response procedures;</w:t>
            </w:r>
          </w:p>
          <w:p w:rsidR="00076953" w:rsidRPr="00076953" w:rsidRDefault="00BF762A" w:rsidP="00076953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BF762A">
              <w:rPr>
                <w:iCs/>
                <w:sz w:val="18"/>
                <w:szCs w:val="18"/>
              </w:rPr>
              <w:t>training; and</w:t>
            </w:r>
          </w:p>
          <w:p w:rsidR="004E0C83" w:rsidRPr="004E0C83" w:rsidRDefault="00BF762A" w:rsidP="00FE42F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F762A">
              <w:rPr>
                <w:iCs/>
                <w:sz w:val="18"/>
                <w:szCs w:val="18"/>
              </w:rPr>
              <w:t xml:space="preserve">testing/exercises. </w:t>
            </w:r>
          </w:p>
        </w:tc>
      </w:tr>
      <w:tr w:rsidR="00A0424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0424B" w:rsidRDefault="00A0424B" w:rsidP="00A0424B">
            <w:pPr>
              <w:tabs>
                <w:tab w:val="left" w:pos="1116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0424B" w:rsidRDefault="002B5166" w:rsidP="0099744C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FC0C0D">
              <w:rPr>
                <w:iCs/>
                <w:sz w:val="18"/>
                <w:szCs w:val="18"/>
              </w:rPr>
              <w:t xml:space="preserve">incident response procedures and </w:t>
            </w:r>
            <w:r w:rsidR="0099744C">
              <w:rPr>
                <w:iCs/>
                <w:sz w:val="18"/>
                <w:szCs w:val="18"/>
              </w:rPr>
              <w:t>an agreed-upon [</w:t>
            </w:r>
            <w:r w:rsidR="0099744C">
              <w:rPr>
                <w:i/>
                <w:iCs/>
                <w:sz w:val="18"/>
                <w:szCs w:val="18"/>
              </w:rPr>
              <w:t>basic</w:t>
            </w:r>
            <w:r w:rsidR="0099744C">
              <w:rPr>
                <w:iCs/>
                <w:sz w:val="18"/>
                <w:szCs w:val="18"/>
              </w:rPr>
              <w:t>] sample of change control records addressing lessons learned from ongoing incident response activities; [</w:t>
            </w:r>
            <w:r w:rsidR="0099744C">
              <w:rPr>
                <w:i/>
                <w:iCs/>
                <w:sz w:val="18"/>
                <w:szCs w:val="18"/>
              </w:rPr>
              <w:t>reviewing</w:t>
            </w:r>
            <w:r w:rsidR="0099744C">
              <w:rPr>
                <w:iCs/>
                <w:sz w:val="18"/>
                <w:szCs w:val="18"/>
              </w:rPr>
              <w:t>] for evidence that the measures identified in IR-4.1.3.1.a are being applied to incorporate lessons learned</w:t>
            </w:r>
            <w:r w:rsidR="00D36099">
              <w:rPr>
                <w:iCs/>
                <w:sz w:val="18"/>
                <w:szCs w:val="18"/>
              </w:rPr>
              <w:t xml:space="preserve"> from ongoing incident handling activities into incident response procedures.</w:t>
            </w:r>
          </w:p>
          <w:p w:rsidR="00D36099" w:rsidRPr="0099744C" w:rsidRDefault="00D36099" w:rsidP="00486E05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Change control records addressing revisions to incident response procedures may be maintained in the </w:t>
            </w:r>
            <w:r w:rsidR="00486E05">
              <w:rPr>
                <w:iCs/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plan, or maintained in change management software or document management software used by the organization.</w:t>
            </w:r>
          </w:p>
        </w:tc>
      </w:tr>
      <w:tr w:rsidR="00A0424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0424B" w:rsidRDefault="00A0424B" w:rsidP="00A0424B">
            <w:pPr>
              <w:tabs>
                <w:tab w:val="left" w:pos="1116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81BCD" w:rsidRDefault="00681BCD" w:rsidP="00681BCD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training materials and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change control records addressing lessons learned from ongoing incident response activities;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IR-4.1.3.1.b are being applied to incorporate lessons learned from ongoing incident handling activities into incident response training.</w:t>
            </w:r>
          </w:p>
          <w:p w:rsidR="00A0424B" w:rsidRPr="00050385" w:rsidRDefault="00681BCD" w:rsidP="0043143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Change control records addressing revisions to incident response training may be maintained in the </w:t>
            </w:r>
            <w:r w:rsidR="00CC4A8C">
              <w:rPr>
                <w:iCs/>
                <w:sz w:val="18"/>
                <w:szCs w:val="18"/>
              </w:rPr>
              <w:t xml:space="preserve">incident response </w:t>
            </w:r>
            <w:r>
              <w:rPr>
                <w:iCs/>
                <w:sz w:val="18"/>
                <w:szCs w:val="18"/>
              </w:rPr>
              <w:t>plan, or maintained in change management software or document management software used by the organization.</w:t>
            </w:r>
          </w:p>
        </w:tc>
      </w:tr>
      <w:tr w:rsidR="00A0424B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A0424B" w:rsidRDefault="00A0424B" w:rsidP="00A0424B">
            <w:pPr>
              <w:tabs>
                <w:tab w:val="left" w:pos="1116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IR-4.1.3.4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81BCD" w:rsidRDefault="00681BCD" w:rsidP="00681BCD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incident response </w:t>
            </w:r>
            <w:r w:rsidR="003A432C">
              <w:rPr>
                <w:iCs/>
                <w:sz w:val="18"/>
                <w:szCs w:val="18"/>
              </w:rPr>
              <w:t>tests/exercises</w:t>
            </w:r>
            <w:r>
              <w:rPr>
                <w:iCs/>
                <w:sz w:val="18"/>
                <w:szCs w:val="18"/>
              </w:rPr>
              <w:t xml:space="preserve"> and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change control records addressing lessons learned from ongoing incident response activities;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IR-4.1.3.1.</w:t>
            </w:r>
            <w:r w:rsidR="001E0044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 xml:space="preserve"> are being applied to incorporate lessons learned from ongoing incident handling activities into incident response </w:t>
            </w:r>
            <w:r w:rsidR="001E0044">
              <w:rPr>
                <w:iCs/>
                <w:sz w:val="18"/>
                <w:szCs w:val="18"/>
              </w:rPr>
              <w:t>testing/exercises</w:t>
            </w:r>
            <w:r>
              <w:rPr>
                <w:iCs/>
                <w:sz w:val="18"/>
                <w:szCs w:val="18"/>
              </w:rPr>
              <w:t>.</w:t>
            </w:r>
          </w:p>
          <w:p w:rsidR="00A0424B" w:rsidRPr="00050385" w:rsidRDefault="00681BCD" w:rsidP="0043143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Change control records addressing revisions to incident response </w:t>
            </w:r>
            <w:r w:rsidR="00CC4A8C">
              <w:rPr>
                <w:iCs/>
                <w:sz w:val="18"/>
                <w:szCs w:val="18"/>
              </w:rPr>
              <w:t>tests/exercises</w:t>
            </w:r>
            <w:r>
              <w:rPr>
                <w:iCs/>
                <w:sz w:val="18"/>
                <w:szCs w:val="18"/>
              </w:rPr>
              <w:t xml:space="preserve"> may be maintained in the </w:t>
            </w:r>
            <w:r w:rsidR="00431437">
              <w:rPr>
                <w:iCs/>
                <w:sz w:val="18"/>
                <w:szCs w:val="18"/>
              </w:rPr>
              <w:t xml:space="preserve">incident response </w:t>
            </w:r>
            <w:r>
              <w:rPr>
                <w:iCs/>
                <w:sz w:val="18"/>
                <w:szCs w:val="18"/>
              </w:rPr>
              <w:t>plan, or maintained in change management software or document management software used by the organization.</w:t>
            </w:r>
          </w:p>
        </w:tc>
      </w:tr>
      <w:tr w:rsidR="001675F0" w:rsidRPr="005073C2" w:rsidTr="001675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5F0" w:rsidRDefault="001675F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675F0" w:rsidRPr="008D7BED" w:rsidRDefault="001675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11B70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B11B70" w:rsidRPr="00941DB5" w:rsidRDefault="004E0C83" w:rsidP="00A0424B">
            <w:pPr>
              <w:tabs>
                <w:tab w:val="left" w:pos="1116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IR-4.1.4.1</w:t>
            </w:r>
            <w:r w:rsidR="00A0424B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11B70" w:rsidRPr="002F5405" w:rsidRDefault="00031885" w:rsidP="00DF0031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 w:rsidR="004E0C83">
              <w:rPr>
                <w:iCs/>
                <w:sz w:val="18"/>
                <w:szCs w:val="18"/>
              </w:rPr>
              <w:t>an agreed-upon [</w:t>
            </w:r>
            <w:r w:rsidR="004E0C83" w:rsidRPr="004E0C83">
              <w:rPr>
                <w:i/>
                <w:iCs/>
                <w:sz w:val="18"/>
                <w:szCs w:val="18"/>
              </w:rPr>
              <w:t>basic</w:t>
            </w:r>
            <w:r w:rsidR="004E0C83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="004E0C83">
              <w:rPr>
                <w:iCs/>
                <w:sz w:val="18"/>
                <w:szCs w:val="18"/>
              </w:rPr>
              <w:t xml:space="preserve">of </w:t>
            </w:r>
            <w:r>
              <w:rPr>
                <w:iCs/>
                <w:sz w:val="18"/>
                <w:szCs w:val="18"/>
              </w:rPr>
              <w:t>organizational personnel with incident handling responsibilities</w:t>
            </w:r>
            <w:r w:rsidR="004E0C83">
              <w:rPr>
                <w:iCs/>
                <w:sz w:val="18"/>
                <w:szCs w:val="18"/>
              </w:rPr>
              <w:t>; [</w:t>
            </w:r>
            <w:r w:rsidR="004E0C83" w:rsidRPr="004E0C83">
              <w:rPr>
                <w:i/>
                <w:iCs/>
                <w:sz w:val="18"/>
                <w:szCs w:val="18"/>
              </w:rPr>
              <w:t>reviewing</w:t>
            </w:r>
            <w:r w:rsidR="004E0C8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="004E0C83">
              <w:rPr>
                <w:iCs/>
                <w:sz w:val="18"/>
                <w:szCs w:val="18"/>
              </w:rPr>
              <w:t xml:space="preserve"> that </w:t>
            </w:r>
            <w:r w:rsidR="004E0C83" w:rsidRPr="00C81418">
              <w:rPr>
                <w:iCs/>
                <w:sz w:val="18"/>
                <w:szCs w:val="18"/>
              </w:rPr>
              <w:t xml:space="preserve">the organization implements </w:t>
            </w:r>
            <w:r w:rsidR="006145F7">
              <w:rPr>
                <w:iCs/>
                <w:sz w:val="18"/>
                <w:szCs w:val="18"/>
              </w:rPr>
              <w:t xml:space="preserve">the </w:t>
            </w:r>
            <w:r w:rsidR="00DF0031">
              <w:rPr>
                <w:iCs/>
                <w:sz w:val="18"/>
                <w:szCs w:val="18"/>
              </w:rPr>
              <w:t xml:space="preserve">resulting </w:t>
            </w:r>
            <w:r w:rsidR="006145F7">
              <w:rPr>
                <w:iCs/>
                <w:sz w:val="18"/>
                <w:szCs w:val="18"/>
              </w:rPr>
              <w:t xml:space="preserve">changes identified in IR-4.1.3.2, IR-4.1.3.3, and IR-4.1.3.4 </w:t>
            </w:r>
            <w:r w:rsidR="00874374">
              <w:rPr>
                <w:iCs/>
                <w:sz w:val="18"/>
                <w:szCs w:val="18"/>
              </w:rPr>
              <w:t>to incident response procedures, training, and testing/exercises</w:t>
            </w:r>
            <w:r w:rsidR="004E0C83" w:rsidRPr="00C81418">
              <w:rPr>
                <w:iCs/>
                <w:sz w:val="18"/>
                <w:szCs w:val="18"/>
              </w:rPr>
              <w:t xml:space="preserve"> accordingly</w:t>
            </w:r>
            <w:r w:rsidR="004E0C83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8F10FE" w:rsidRPr="005073C2" w:rsidRDefault="008F10FE" w:rsidP="001C63F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073B2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1C63F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675F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3B2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pStyle w:val="control-name"/>
              <w:spacing w:before="120"/>
              <w:rPr>
                <w:highlight w:val="yellow"/>
              </w:rPr>
            </w:pPr>
            <w:r>
              <w:t>INCIDENT HANDLING</w:t>
            </w:r>
          </w:p>
        </w:tc>
      </w:tr>
      <w:tr w:rsidR="00073B24" w:rsidRPr="005073C2" w:rsidTr="00420B5E">
        <w:trPr>
          <w:cantSplit/>
          <w:trHeight w:val="2123"/>
        </w:trPr>
        <w:tc>
          <w:tcPr>
            <w:tcW w:w="1530" w:type="dxa"/>
          </w:tcPr>
          <w:p w:rsidR="003B7FA6" w:rsidRDefault="003B7FA6" w:rsidP="003B7FA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IR-4(1).1</w:t>
            </w: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IR-4(1)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20B5E" w:rsidRPr="00380A46" w:rsidRDefault="00420B5E" w:rsidP="001C63F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 xml:space="preserve">etermine if the organization employs automated mechanisms to support the </w:t>
            </w:r>
            <w:r w:rsidRPr="00380A46">
              <w:rPr>
                <w:i/>
                <w:iCs/>
                <w:sz w:val="20"/>
                <w:szCs w:val="20"/>
              </w:rPr>
              <w:t>incident handling process</w:t>
            </w:r>
            <w:r w:rsidRPr="00380A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073B24" w:rsidRPr="00303760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0376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3B24" w:rsidRPr="00303760" w:rsidRDefault="00073B24" w:rsidP="001C63F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Incident response policy; procedures addressing incident handling; automated mechanisms supporting incident handling; other relevant documents or records].</w:t>
            </w:r>
          </w:p>
          <w:p w:rsidR="00073B24" w:rsidRPr="00380A46" w:rsidRDefault="00073B24" w:rsidP="001C63F0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Organizational personnel with incident handling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1C63F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1C63F0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1C63F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7F1F0D">
              <w:rPr>
                <w:rFonts w:ascii="Arial" w:hAnsi="Arial" w:cs="Arial"/>
                <w:iCs/>
                <w:smallCaps/>
                <w:sz w:val="16"/>
                <w:szCs w:val="16"/>
              </w:rPr>
              <w:t>IR-8, SC-7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B09F0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AU-6, </w:t>
            </w:r>
            <w:r w:rsidR="007F1F0D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 xml:space="preserve">AU-7, AU-11, CM-6, CP-2, IR-2, IR-3, IR-5, IR-6, IR-7, PE-6, </w:t>
            </w:r>
            <w:r w:rsidR="00AB09F0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SI-4</w:t>
            </w:r>
          </w:p>
          <w:p w:rsidR="001C3BD4" w:rsidRPr="002F5405" w:rsidRDefault="001C3BD4" w:rsidP="00AB09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B09F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C63F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1675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1859EB" w:rsidRDefault="001859EB" w:rsidP="001859E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4569C2"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569C2"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5073C2" w:rsidRDefault="00DE55DA" w:rsidP="006B437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6B4374">
              <w:rPr>
                <w:iCs/>
                <w:sz w:val="18"/>
                <w:szCs w:val="18"/>
              </w:rPr>
              <w:t>incident response plan, information system design documentation</w:t>
            </w:r>
            <w:r>
              <w:rPr>
                <w:iCs/>
                <w:sz w:val="18"/>
                <w:szCs w:val="18"/>
              </w:rPr>
              <w:t xml:space="preserve">, or other relevant documents; </w:t>
            </w:r>
            <w:r w:rsidR="001078A9">
              <w:rPr>
                <w:iCs/>
                <w:sz w:val="18"/>
                <w:szCs w:val="18"/>
              </w:rPr>
              <w:t>[</w:t>
            </w:r>
            <w:r w:rsidR="001078A9" w:rsidRPr="001078A9">
              <w:rPr>
                <w:i/>
                <w:iCs/>
                <w:sz w:val="18"/>
                <w:szCs w:val="18"/>
              </w:rPr>
              <w:t>r</w:t>
            </w:r>
            <w:r w:rsidRPr="001078A9">
              <w:rPr>
                <w:i/>
                <w:iCs/>
                <w:sz w:val="18"/>
                <w:szCs w:val="18"/>
              </w:rPr>
              <w:t>eviewing</w:t>
            </w:r>
            <w:r w:rsidR="001078A9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6B437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and their configuration</w:t>
            </w:r>
            <w:r w:rsidR="00E230E7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</w:t>
            </w:r>
            <w:r w:rsidR="00E230E7">
              <w:rPr>
                <w:iCs/>
                <w:sz w:val="18"/>
                <w:szCs w:val="18"/>
              </w:rPr>
              <w:t>ettings</w:t>
            </w:r>
            <w:r>
              <w:rPr>
                <w:iCs/>
                <w:sz w:val="18"/>
                <w:szCs w:val="18"/>
              </w:rPr>
              <w:t xml:space="preserve"> to be employed to support the incident handling process.</w:t>
            </w:r>
            <w:r w:rsidR="001C3BD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1859EB" w:rsidRDefault="00DE55DA" w:rsidP="001C63F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E0988" w:rsidRPr="005073C2" w:rsidRDefault="00DE55DA" w:rsidP="006B437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6B4374">
              <w:rPr>
                <w:iCs/>
                <w:sz w:val="18"/>
                <w:szCs w:val="18"/>
              </w:rPr>
              <w:t xml:space="preserve">documentation describing the current </w:t>
            </w:r>
            <w:r>
              <w:rPr>
                <w:iCs/>
                <w:sz w:val="18"/>
                <w:szCs w:val="18"/>
              </w:rPr>
              <w:t xml:space="preserve">configuration settings for an agreed-upon </w:t>
            </w:r>
            <w:r w:rsidR="001078A9">
              <w:rPr>
                <w:iCs/>
                <w:sz w:val="18"/>
                <w:szCs w:val="18"/>
              </w:rPr>
              <w:t>[</w:t>
            </w:r>
            <w:r w:rsidR="001078A9" w:rsidRPr="001078A9">
              <w:rPr>
                <w:i/>
                <w:iCs/>
                <w:sz w:val="18"/>
                <w:szCs w:val="18"/>
              </w:rPr>
              <w:t xml:space="preserve">basic </w:t>
            </w:r>
            <w:r w:rsidR="001078A9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6B4374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6B4374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</w:t>
            </w:r>
            <w:r w:rsidR="001675F0">
              <w:rPr>
                <w:iCs/>
                <w:sz w:val="18"/>
                <w:szCs w:val="18"/>
              </w:rPr>
              <w:t>chanisms identified in IR-4(1)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="001078A9">
              <w:rPr>
                <w:iCs/>
                <w:sz w:val="18"/>
                <w:szCs w:val="18"/>
              </w:rPr>
              <w:t>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 w:rsidR="001078A9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</w:t>
            </w:r>
            <w:r w:rsidR="001078A9">
              <w:rPr>
                <w:iCs/>
                <w:sz w:val="18"/>
                <w:szCs w:val="18"/>
              </w:rPr>
              <w:t>evidence</w:t>
            </w:r>
            <w:r>
              <w:rPr>
                <w:iCs/>
                <w:sz w:val="18"/>
                <w:szCs w:val="18"/>
              </w:rPr>
              <w:t xml:space="preserve"> that the</w:t>
            </w:r>
            <w:r w:rsidR="006B4374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</w:t>
            </w:r>
            <w:r w:rsidR="001675F0">
              <w:rPr>
                <w:iCs/>
                <w:sz w:val="18"/>
                <w:szCs w:val="18"/>
              </w:rPr>
              <w:t>gured as identified in IR-4(1)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1859EB" w:rsidRDefault="00DE55DA" w:rsidP="001C63F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5E0988" w:rsidRPr="005073C2" w:rsidRDefault="00DE55DA" w:rsidP="007C07F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an agreed-upon </w:t>
            </w:r>
            <w:r w:rsidR="001078A9">
              <w:rPr>
                <w:iCs/>
                <w:sz w:val="18"/>
                <w:szCs w:val="18"/>
              </w:rPr>
              <w:t>[</w:t>
            </w:r>
            <w:r w:rsidR="001078A9" w:rsidRPr="001078A9">
              <w:rPr>
                <w:i/>
                <w:iCs/>
                <w:sz w:val="18"/>
                <w:szCs w:val="18"/>
              </w:rPr>
              <w:t>basic</w:t>
            </w:r>
            <w:r w:rsidR="001078A9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C07F9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7C07F9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 xml:space="preserve">output records generated by </w:t>
            </w:r>
            <w:r w:rsidR="007C07F9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</w:t>
            </w:r>
            <w:r w:rsidR="001675F0">
              <w:rPr>
                <w:iCs/>
                <w:sz w:val="18"/>
                <w:szCs w:val="18"/>
              </w:rPr>
              <w:t>chanisms identified in IR-4(1)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</w:t>
            </w:r>
            <w:r w:rsidR="007C07F9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1078A9">
              <w:rPr>
                <w:iCs/>
                <w:sz w:val="18"/>
                <w:szCs w:val="18"/>
              </w:rPr>
              <w:t>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 w:rsidR="001078A9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</w:t>
            </w:r>
            <w:r w:rsidR="007C07F9">
              <w:rPr>
                <w:iCs/>
                <w:sz w:val="18"/>
                <w:szCs w:val="18"/>
              </w:rPr>
              <w:t xml:space="preserve">these </w:t>
            </w:r>
            <w:r>
              <w:rPr>
                <w:iCs/>
                <w:sz w:val="18"/>
                <w:szCs w:val="18"/>
              </w:rPr>
              <w:t xml:space="preserve">mechanisms are </w:t>
            </w:r>
            <w:r w:rsidR="007C07F9">
              <w:rPr>
                <w:iCs/>
                <w:sz w:val="18"/>
                <w:szCs w:val="18"/>
              </w:rPr>
              <w:t>confi</w:t>
            </w:r>
            <w:r w:rsidR="001675F0">
              <w:rPr>
                <w:iCs/>
                <w:sz w:val="18"/>
                <w:szCs w:val="18"/>
              </w:rPr>
              <w:t>gured as identified in IR-4(1)</w:t>
            </w:r>
            <w:r w:rsidR="003B7FA6">
              <w:rPr>
                <w:iCs/>
                <w:sz w:val="18"/>
                <w:szCs w:val="18"/>
              </w:rPr>
              <w:t>.1</w:t>
            </w:r>
            <w:r w:rsidR="007C07F9">
              <w:rPr>
                <w:iCs/>
                <w:sz w:val="18"/>
                <w:szCs w:val="18"/>
              </w:rPr>
              <w:t>.1.1</w:t>
            </w:r>
            <w:r>
              <w:rPr>
                <w:iCs/>
                <w:sz w:val="18"/>
                <w:szCs w:val="18"/>
              </w:rPr>
              <w:t>.</w:t>
            </w:r>
            <w:r w:rsidR="005E098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5E0988" w:rsidRPr="001859EB" w:rsidRDefault="00DE55DA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4(1)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859EB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E0988" w:rsidRPr="005073C2" w:rsidRDefault="00094F18" w:rsidP="007C07F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F474E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their configuration </w:t>
            </w:r>
            <w:r w:rsidR="001675F0">
              <w:rPr>
                <w:iCs/>
                <w:sz w:val="18"/>
                <w:szCs w:val="18"/>
              </w:rPr>
              <w:t>settings identified in IR-4(1)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conducting [</w:t>
            </w:r>
            <w:r w:rsidRPr="00F474E4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testing for evidence that these mechanisms are operating as intended.</w:t>
            </w:r>
          </w:p>
        </w:tc>
      </w:tr>
      <w:tr w:rsidR="00073B24" w:rsidRPr="005073C2" w:rsidTr="001C63F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675F0" w:rsidRDefault="001675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1675F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073B24" w:rsidRPr="003111F5" w:rsidTr="001C63F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IR-4(2)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pStyle w:val="control-name"/>
              <w:spacing w:before="120"/>
              <w:rPr>
                <w:highlight w:val="yellow"/>
              </w:rPr>
            </w:pPr>
            <w:r>
              <w:t>INCIDENT HANDLING</w:t>
            </w:r>
          </w:p>
        </w:tc>
      </w:tr>
      <w:tr w:rsidR="00073B24" w:rsidRPr="005073C2" w:rsidTr="00420B5E">
        <w:trPr>
          <w:cantSplit/>
          <w:trHeight w:val="2123"/>
        </w:trPr>
        <w:tc>
          <w:tcPr>
            <w:tcW w:w="1530" w:type="dxa"/>
          </w:tcPr>
          <w:p w:rsidR="003B7FA6" w:rsidRDefault="003B7FA6" w:rsidP="003B7FA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IR-4(2).1</w:t>
            </w: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IR-4(2)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20B5E" w:rsidRPr="00380A46" w:rsidRDefault="00420B5E" w:rsidP="001C63F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 the organization includes dynamic reconfiguration of the information system as part of the incident response capability.</w:t>
            </w:r>
          </w:p>
          <w:p w:rsidR="00073B24" w:rsidRPr="00303760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0376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3B24" w:rsidRPr="00303760" w:rsidRDefault="00073B24" w:rsidP="001C63F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Incident response policy; procedures addressing incident handling; automated mechanisms supporting incident handling; other relevant documents or records].</w:t>
            </w:r>
          </w:p>
          <w:p w:rsidR="00073B24" w:rsidRPr="00380A46" w:rsidRDefault="00073B24" w:rsidP="001C63F0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Organizational personnel with incident handling responsibilities].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</w:tcPr>
          <w:p w:rsidR="00073B24" w:rsidRPr="005073C2" w:rsidRDefault="00073B24" w:rsidP="001C63F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3B24" w:rsidRPr="002F5405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3B24" w:rsidRPr="005073C2" w:rsidRDefault="00073B24" w:rsidP="001C63F0"/>
        </w:tc>
        <w:tc>
          <w:tcPr>
            <w:tcW w:w="7110" w:type="dxa"/>
            <w:tcBorders>
              <w:bottom w:val="single" w:sz="4" w:space="0" w:color="auto"/>
            </w:tcBorders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</w:rPr>
              <w:t>IR-8, SC-7</w:t>
            </w:r>
            <w:r w:rsidR="005053D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</w:rPr>
              <w:t>CM-6, IR-2, IR-3, IR-5, IR-6, IR-7, PE-6, SI-4</w:t>
            </w:r>
          </w:p>
          <w:p w:rsidR="00073B24" w:rsidRPr="002F5405" w:rsidRDefault="00073B24" w:rsidP="005053D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053D7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3B24" w:rsidRPr="005073C2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C63F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675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1145C" w:rsidRPr="005073C2" w:rsidTr="001C63F0">
        <w:trPr>
          <w:cantSplit/>
        </w:trPr>
        <w:tc>
          <w:tcPr>
            <w:tcW w:w="1530" w:type="dxa"/>
          </w:tcPr>
          <w:p w:rsidR="0091145C" w:rsidRPr="00143A7D" w:rsidRDefault="0091145C" w:rsidP="00143A7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43A7D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4(2)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43A7D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1145C" w:rsidRPr="005073C2" w:rsidRDefault="0091145C" w:rsidP="000C774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3332B1">
              <w:rPr>
                <w:iCs/>
                <w:sz w:val="18"/>
                <w:szCs w:val="18"/>
              </w:rPr>
              <w:t xml:space="preserve">incident response plan, 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0C7744">
              <w:rPr>
                <w:iCs/>
                <w:sz w:val="18"/>
                <w:szCs w:val="18"/>
              </w:rPr>
              <w:t xml:space="preserve">the </w:t>
            </w:r>
            <w:r w:rsidR="003332B1">
              <w:rPr>
                <w:iCs/>
                <w:sz w:val="18"/>
                <w:szCs w:val="18"/>
              </w:rPr>
              <w:t>automated mechanisms and their configuration settings</w:t>
            </w:r>
            <w:r w:rsidR="000C7744">
              <w:rPr>
                <w:iCs/>
                <w:sz w:val="18"/>
                <w:szCs w:val="18"/>
              </w:rPr>
              <w:t xml:space="preserve"> </w:t>
            </w:r>
            <w:r w:rsidR="003332B1">
              <w:rPr>
                <w:iCs/>
                <w:sz w:val="18"/>
                <w:szCs w:val="18"/>
              </w:rPr>
              <w:t>to be employed to include</w:t>
            </w:r>
            <w:r>
              <w:rPr>
                <w:iCs/>
                <w:sz w:val="18"/>
                <w:szCs w:val="18"/>
              </w:rPr>
              <w:t xml:space="preserve"> dynamic reconfiguration of </w:t>
            </w:r>
            <w:r w:rsidR="00FA7861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information system as part of the incident response capability.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C7744" w:rsidRPr="005073C2" w:rsidTr="001C63F0">
        <w:trPr>
          <w:cantSplit/>
        </w:trPr>
        <w:tc>
          <w:tcPr>
            <w:tcW w:w="1530" w:type="dxa"/>
          </w:tcPr>
          <w:p w:rsidR="000C7744" w:rsidRDefault="001675F0" w:rsidP="00143A7D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IR-4(2)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C7744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C7744" w:rsidRPr="000C7744" w:rsidRDefault="000C7744" w:rsidP="000C774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the automated me</w:t>
            </w:r>
            <w:r w:rsidR="001675F0">
              <w:rPr>
                <w:iCs/>
                <w:sz w:val="18"/>
                <w:szCs w:val="18"/>
              </w:rPr>
              <w:t>chanisms identified in IR-4(2)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configured as identified in IR-4(2)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91145C" w:rsidRPr="005073C2" w:rsidTr="001C63F0">
        <w:trPr>
          <w:cantSplit/>
        </w:trPr>
        <w:tc>
          <w:tcPr>
            <w:tcW w:w="1530" w:type="dxa"/>
          </w:tcPr>
          <w:p w:rsidR="0091145C" w:rsidRPr="00DD3BEB" w:rsidRDefault="001675F0" w:rsidP="008A0705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IR-4(2)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1145C" w:rsidRPr="00DD3BEB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8A0705" w:rsidRPr="00DD3BEB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91145C" w:rsidRPr="00DD3BEB" w:rsidRDefault="0091145C" w:rsidP="008A070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DD3BEB">
              <w:rPr>
                <w:b/>
                <w:iCs/>
                <w:sz w:val="18"/>
                <w:szCs w:val="18"/>
              </w:rPr>
              <w:t xml:space="preserve">Examine </w:t>
            </w:r>
            <w:r w:rsidR="00812CF1" w:rsidRPr="00DD3BEB">
              <w:rPr>
                <w:iCs/>
                <w:sz w:val="18"/>
                <w:szCs w:val="18"/>
              </w:rPr>
              <w:t xml:space="preserve">incident handling records, </w:t>
            </w:r>
            <w:r w:rsidR="0096423C" w:rsidRPr="00DD3BEB">
              <w:rPr>
                <w:iCs/>
                <w:sz w:val="18"/>
                <w:szCs w:val="18"/>
              </w:rPr>
              <w:t xml:space="preserve">configuration </w:t>
            </w:r>
            <w:r w:rsidR="00BA5924" w:rsidRPr="00DD3BEB">
              <w:rPr>
                <w:iCs/>
                <w:sz w:val="18"/>
                <w:szCs w:val="18"/>
              </w:rPr>
              <w:t>change control records</w:t>
            </w:r>
            <w:r w:rsidR="00812CF1" w:rsidRPr="00DD3BEB">
              <w:rPr>
                <w:iCs/>
                <w:sz w:val="18"/>
                <w:szCs w:val="18"/>
              </w:rPr>
              <w:t xml:space="preserve">, </w:t>
            </w:r>
            <w:r w:rsidR="0096423C" w:rsidRPr="00DD3BEB">
              <w:rPr>
                <w:iCs/>
                <w:sz w:val="18"/>
                <w:szCs w:val="18"/>
              </w:rPr>
              <w:t xml:space="preserve">incident response test/exercise records, contingency plan test/exercise records, </w:t>
            </w:r>
            <w:r w:rsidR="00812CF1" w:rsidRPr="00DD3BEB">
              <w:rPr>
                <w:iCs/>
                <w:sz w:val="18"/>
                <w:szCs w:val="18"/>
              </w:rPr>
              <w:t xml:space="preserve">or other relevant </w:t>
            </w:r>
            <w:r w:rsidR="008A0705" w:rsidRPr="00DD3BEB">
              <w:rPr>
                <w:iCs/>
                <w:sz w:val="18"/>
                <w:szCs w:val="18"/>
              </w:rPr>
              <w:t xml:space="preserve">documents associated with </w:t>
            </w:r>
            <w:r w:rsidRPr="00DD3BEB">
              <w:rPr>
                <w:iCs/>
                <w:sz w:val="18"/>
                <w:szCs w:val="18"/>
              </w:rPr>
              <w:t>an agreed-upon [</w:t>
            </w:r>
            <w:r w:rsidRPr="00DD3BEB">
              <w:rPr>
                <w:i/>
                <w:iCs/>
                <w:sz w:val="18"/>
                <w:szCs w:val="18"/>
              </w:rPr>
              <w:t>basic</w:t>
            </w:r>
            <w:r w:rsidRPr="00DD3BEB">
              <w:rPr>
                <w:iCs/>
                <w:sz w:val="18"/>
                <w:szCs w:val="18"/>
              </w:rPr>
              <w:t xml:space="preserve">] </w:t>
            </w:r>
            <w:r w:rsidR="00DD3BEB" w:rsidRPr="00DD3BEB">
              <w:rPr>
                <w:iCs/>
                <w:sz w:val="18"/>
                <w:szCs w:val="18"/>
              </w:rPr>
              <w:t xml:space="preserve">sample </w:t>
            </w:r>
            <w:r w:rsidRPr="00DD3BEB">
              <w:rPr>
                <w:iCs/>
                <w:sz w:val="18"/>
                <w:szCs w:val="18"/>
              </w:rPr>
              <w:t xml:space="preserve">of </w:t>
            </w:r>
            <w:r w:rsidR="00812CF1" w:rsidRPr="00DD3BEB">
              <w:rPr>
                <w:iCs/>
                <w:sz w:val="18"/>
                <w:szCs w:val="18"/>
              </w:rPr>
              <w:t>the automated me</w:t>
            </w:r>
            <w:r w:rsidR="001675F0">
              <w:rPr>
                <w:iCs/>
                <w:sz w:val="18"/>
                <w:szCs w:val="18"/>
              </w:rPr>
              <w:t>chanisms identified in IR-4(2)</w:t>
            </w:r>
            <w:r w:rsidR="003B7FA6">
              <w:rPr>
                <w:iCs/>
                <w:sz w:val="18"/>
                <w:szCs w:val="18"/>
              </w:rPr>
              <w:t>.1</w:t>
            </w:r>
            <w:r w:rsidR="00812CF1" w:rsidRPr="00DD3BEB">
              <w:rPr>
                <w:iCs/>
                <w:sz w:val="18"/>
                <w:szCs w:val="18"/>
              </w:rPr>
              <w:t>.1.1</w:t>
            </w:r>
            <w:r w:rsidRPr="00DD3BEB">
              <w:rPr>
                <w:iCs/>
                <w:sz w:val="18"/>
                <w:szCs w:val="18"/>
              </w:rPr>
              <w:t>; [</w:t>
            </w:r>
            <w:r w:rsidRPr="00DD3BEB">
              <w:rPr>
                <w:i/>
                <w:iCs/>
                <w:sz w:val="18"/>
                <w:szCs w:val="18"/>
              </w:rPr>
              <w:t>reviewing</w:t>
            </w:r>
            <w:r w:rsidRPr="00DD3BEB">
              <w:rPr>
                <w:iCs/>
                <w:sz w:val="18"/>
                <w:szCs w:val="18"/>
              </w:rPr>
              <w:t>] for evidence</w:t>
            </w:r>
            <w:r w:rsidR="00BA5924" w:rsidRPr="00DD3BEB">
              <w:rPr>
                <w:iCs/>
                <w:sz w:val="18"/>
                <w:szCs w:val="18"/>
              </w:rPr>
              <w:t xml:space="preserve"> that the</w:t>
            </w:r>
            <w:r w:rsidR="00812CF1" w:rsidRPr="00DD3BEB">
              <w:rPr>
                <w:iCs/>
                <w:sz w:val="18"/>
                <w:szCs w:val="18"/>
              </w:rPr>
              <w:t>se mechanisms are confi</w:t>
            </w:r>
            <w:r w:rsidR="001675F0">
              <w:rPr>
                <w:iCs/>
                <w:sz w:val="18"/>
                <w:szCs w:val="18"/>
              </w:rPr>
              <w:t>gured as identified in IR-4(2)</w:t>
            </w:r>
            <w:r w:rsidR="003B7FA6">
              <w:rPr>
                <w:iCs/>
                <w:sz w:val="18"/>
                <w:szCs w:val="18"/>
              </w:rPr>
              <w:t>.1</w:t>
            </w:r>
            <w:r w:rsidR="00812CF1" w:rsidRPr="00DD3BEB">
              <w:rPr>
                <w:iCs/>
                <w:sz w:val="18"/>
                <w:szCs w:val="18"/>
              </w:rPr>
              <w:t>.1.1</w:t>
            </w:r>
            <w:r w:rsidRPr="00DD3BEB">
              <w:rPr>
                <w:iCs/>
                <w:sz w:val="18"/>
                <w:szCs w:val="18"/>
              </w:rPr>
              <w:t>.</w:t>
            </w:r>
            <w:r w:rsidRPr="00DD3BEB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73B24" w:rsidRPr="005073C2" w:rsidTr="001C63F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675F0" w:rsidRDefault="001675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675F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3B24" w:rsidRPr="003111F5" w:rsidTr="001C63F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IR-4(3)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pStyle w:val="control-name"/>
              <w:spacing w:before="120"/>
              <w:rPr>
                <w:highlight w:val="yellow"/>
              </w:rPr>
            </w:pPr>
            <w:r>
              <w:t>INCIDENT HANDLING</w:t>
            </w:r>
          </w:p>
        </w:tc>
      </w:tr>
      <w:tr w:rsidR="00073B24" w:rsidRPr="005073C2" w:rsidTr="001675F0">
        <w:trPr>
          <w:cantSplit/>
          <w:trHeight w:val="2870"/>
        </w:trPr>
        <w:tc>
          <w:tcPr>
            <w:tcW w:w="1530" w:type="dxa"/>
          </w:tcPr>
          <w:p w:rsidR="001675F0" w:rsidRDefault="001675F0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IR-4(3).1</w:t>
            </w: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073B24" w:rsidRPr="00380A46" w:rsidRDefault="00073B24" w:rsidP="00073B2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 xml:space="preserve">the organization </w:t>
            </w:r>
            <w:r>
              <w:rPr>
                <w:bCs/>
                <w:i/>
                <w:iCs/>
                <w:sz w:val="20"/>
                <w:szCs w:val="20"/>
              </w:rPr>
              <w:t>identifies</w:t>
            </w:r>
            <w:r w:rsidRPr="00380A46">
              <w:rPr>
                <w:bCs/>
                <w:i/>
                <w:iCs/>
                <w:sz w:val="20"/>
                <w:szCs w:val="20"/>
              </w:rPr>
              <w:t xml:space="preserve"> classes of incidents; and</w:t>
            </w:r>
          </w:p>
          <w:p w:rsidR="00073B24" w:rsidRPr="00380A46" w:rsidRDefault="00073B24" w:rsidP="00073B24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380A46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bCs/>
                <w:i/>
                <w:iCs/>
                <w:sz w:val="20"/>
                <w:szCs w:val="20"/>
              </w:rPr>
              <w:t xml:space="preserve"> organization defines the appropriate actions to take in response to each class of incidents to ensure continuation of organizational missions and business functions.</w:t>
            </w:r>
          </w:p>
          <w:p w:rsidR="00073B24" w:rsidRPr="00303760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0376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3B24" w:rsidRPr="00303760" w:rsidRDefault="00073B24" w:rsidP="001C63F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handling; automated mechanisms supporting incident handling;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073B24" w:rsidRPr="00380A46" w:rsidRDefault="00073B24" w:rsidP="001C63F0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Organizational personnel with incident handling responsibilities].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</w:tcPr>
          <w:p w:rsidR="00073B24" w:rsidRPr="005073C2" w:rsidRDefault="00073B24" w:rsidP="001C63F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3B24" w:rsidRPr="002F5405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3B24" w:rsidRPr="005073C2" w:rsidRDefault="00073B24" w:rsidP="001C63F0"/>
        </w:tc>
        <w:tc>
          <w:tcPr>
            <w:tcW w:w="7110" w:type="dxa"/>
            <w:tcBorders>
              <w:bottom w:val="single" w:sz="4" w:space="0" w:color="auto"/>
            </w:tcBorders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</w:rPr>
              <w:t>IR-8, SC-7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AU-6, AU-7, AU-11, CM-6, </w:t>
            </w:r>
            <w:r w:rsidR="00C7027E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</w:rPr>
              <w:t>, IR-2, IR-3, IR-5, IR-6, IR-7, PE-6, SI-4</w:t>
            </w:r>
          </w:p>
          <w:p w:rsidR="00073B24" w:rsidRPr="002F5405" w:rsidRDefault="00073B24" w:rsidP="00891E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3B24" w:rsidRPr="005073C2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C63F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675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73B24" w:rsidRPr="005073C2" w:rsidTr="001C63F0">
        <w:trPr>
          <w:cantSplit/>
        </w:trPr>
        <w:tc>
          <w:tcPr>
            <w:tcW w:w="1530" w:type="dxa"/>
          </w:tcPr>
          <w:p w:rsidR="00073B24" w:rsidRPr="00E24612" w:rsidRDefault="00E24612" w:rsidP="00E2461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073B24" w:rsidRPr="00E2461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4(3).1.1</w:t>
            </w:r>
            <w:r w:rsidR="00073B24" w:rsidRPr="00E2461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073B24" w:rsidRPr="005073C2" w:rsidRDefault="00E24612" w:rsidP="00EC7A9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policy</w:t>
            </w:r>
            <w:r w:rsidR="001E25BB">
              <w:rPr>
                <w:iCs/>
                <w:sz w:val="18"/>
                <w:szCs w:val="18"/>
              </w:rPr>
              <w:t>, procedures addressing incident handling, incident response plan,</w:t>
            </w:r>
            <w:r>
              <w:rPr>
                <w:iCs/>
                <w:sz w:val="18"/>
                <w:szCs w:val="18"/>
              </w:rPr>
              <w:t xml:space="preserve"> or other relevant documents;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</w:t>
            </w:r>
            <w:r w:rsidR="00FA055D">
              <w:rPr>
                <w:iCs/>
                <w:sz w:val="18"/>
                <w:szCs w:val="18"/>
              </w:rPr>
              <w:t>classes of incidents</w:t>
            </w:r>
            <w:r>
              <w:rPr>
                <w:iCs/>
                <w:sz w:val="18"/>
                <w:szCs w:val="18"/>
              </w:rPr>
              <w:t>.</w:t>
            </w:r>
            <w:r w:rsidR="00073B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675F0" w:rsidRPr="005073C2" w:rsidTr="001675F0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1675F0" w:rsidRDefault="001675F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675F0" w:rsidRPr="008D7BED" w:rsidRDefault="001675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73B24" w:rsidRPr="005073C2" w:rsidTr="001C63F0">
        <w:trPr>
          <w:cantSplit/>
        </w:trPr>
        <w:tc>
          <w:tcPr>
            <w:tcW w:w="1530" w:type="dxa"/>
          </w:tcPr>
          <w:p w:rsidR="00073B24" w:rsidRPr="00E24612" w:rsidRDefault="00E24612" w:rsidP="00E2461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073B24" w:rsidRPr="00E2461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4(3).1.2</w:t>
            </w:r>
            <w:r w:rsidR="00073B24" w:rsidRPr="00E2461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073B24" w:rsidRPr="005073C2" w:rsidRDefault="00FA055D" w:rsidP="00C96DF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incident response policy, procedures addressing incident handling, </w:t>
            </w:r>
            <w:r w:rsidR="00EC7A90">
              <w:rPr>
                <w:iCs/>
                <w:sz w:val="18"/>
                <w:szCs w:val="18"/>
              </w:rPr>
              <w:t xml:space="preserve">incident response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actions to be taken in response to the classes of incidents identified in IR-4(3).1.1.1 to ensure continuation of organizational missions and business functions.</w:t>
            </w:r>
            <w:r w:rsidR="00073B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73B24" w:rsidRPr="005073C2" w:rsidTr="001C63F0">
        <w:trPr>
          <w:cantSplit/>
        </w:trPr>
        <w:tc>
          <w:tcPr>
            <w:tcW w:w="1530" w:type="dxa"/>
          </w:tcPr>
          <w:p w:rsidR="00073B24" w:rsidRPr="00E24612" w:rsidRDefault="00FA055D" w:rsidP="00FA055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073B24" w:rsidRPr="00E2461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4(3).1.2</w:t>
            </w:r>
            <w:r w:rsidR="00073B24" w:rsidRPr="00E2461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073B24" w:rsidRPr="005073C2" w:rsidRDefault="006E25D9" w:rsidP="008A070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E8370A">
              <w:rPr>
                <w:iCs/>
                <w:sz w:val="18"/>
                <w:szCs w:val="18"/>
              </w:rPr>
              <w:t>an agreed-upon [</w:t>
            </w:r>
            <w:r w:rsidR="00E8370A" w:rsidRPr="00E8370A">
              <w:rPr>
                <w:i/>
                <w:iCs/>
                <w:sz w:val="18"/>
                <w:szCs w:val="18"/>
              </w:rPr>
              <w:t>basic</w:t>
            </w:r>
            <w:r w:rsidR="00E8370A">
              <w:rPr>
                <w:iCs/>
                <w:sz w:val="18"/>
                <w:szCs w:val="18"/>
              </w:rPr>
              <w:t xml:space="preserve">] sample of </w:t>
            </w:r>
            <w:r w:rsidRPr="00E8370A">
              <w:rPr>
                <w:iCs/>
                <w:sz w:val="18"/>
                <w:szCs w:val="18"/>
              </w:rPr>
              <w:t>incident</w:t>
            </w:r>
            <w:r>
              <w:rPr>
                <w:iCs/>
                <w:sz w:val="18"/>
                <w:szCs w:val="18"/>
              </w:rPr>
              <w:t xml:space="preserve"> handling records;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</w:t>
            </w:r>
            <w:r w:rsidR="00E8370A">
              <w:rPr>
                <w:iCs/>
                <w:sz w:val="18"/>
                <w:szCs w:val="18"/>
              </w:rPr>
              <w:t>of the classes of incidents identified in IR-4(3).1.1.1 and the</w:t>
            </w:r>
            <w:r>
              <w:rPr>
                <w:iCs/>
                <w:sz w:val="18"/>
                <w:szCs w:val="18"/>
              </w:rPr>
              <w:t xml:space="preserve"> actions taken in response </w:t>
            </w:r>
            <w:r w:rsidRPr="00DD3BEB">
              <w:rPr>
                <w:iCs/>
                <w:sz w:val="18"/>
                <w:szCs w:val="18"/>
              </w:rPr>
              <w:t>to the</w:t>
            </w:r>
            <w:r w:rsidR="008A0705" w:rsidRPr="00DD3BEB">
              <w:rPr>
                <w:iCs/>
                <w:sz w:val="18"/>
                <w:szCs w:val="18"/>
              </w:rPr>
              <w:t>se</w:t>
            </w:r>
            <w:r w:rsidR="008A070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incident</w:t>
            </w:r>
            <w:r w:rsidR="00E8370A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3E5193">
              <w:rPr>
                <w:iCs/>
                <w:sz w:val="18"/>
                <w:szCs w:val="18"/>
              </w:rPr>
              <w:t>as identified</w:t>
            </w:r>
            <w:r>
              <w:rPr>
                <w:iCs/>
                <w:sz w:val="18"/>
                <w:szCs w:val="18"/>
              </w:rPr>
              <w:t xml:space="preserve"> in IR-4(3).1.2.1.</w:t>
            </w:r>
            <w:r w:rsidR="00073B24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73B24" w:rsidRPr="005073C2" w:rsidTr="001C63F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675F0" w:rsidRDefault="001675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675F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3B24" w:rsidRPr="003111F5" w:rsidTr="001C63F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IR-4(4)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pStyle w:val="control-name"/>
              <w:spacing w:before="120"/>
              <w:rPr>
                <w:highlight w:val="yellow"/>
              </w:rPr>
            </w:pPr>
            <w:r>
              <w:t>INCIDENT HANDLING</w:t>
            </w:r>
          </w:p>
        </w:tc>
      </w:tr>
      <w:tr w:rsidR="00073B24" w:rsidRPr="005073C2" w:rsidTr="00AB6439">
        <w:trPr>
          <w:cantSplit/>
          <w:trHeight w:val="2384"/>
        </w:trPr>
        <w:tc>
          <w:tcPr>
            <w:tcW w:w="1530" w:type="dxa"/>
          </w:tcPr>
          <w:p w:rsidR="003B7FA6" w:rsidRDefault="003B7FA6" w:rsidP="003B7FA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IR-4(4).1</w:t>
            </w: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IR-4(4)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7122B" w:rsidRPr="00380A46" w:rsidRDefault="0057122B" w:rsidP="001C63F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 the organization correlates incident information and individual incident responses to achieve an organization-wide perspective on incident awareness and response.</w:t>
            </w:r>
          </w:p>
          <w:p w:rsidR="00073B24" w:rsidRPr="00303760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0376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3B24" w:rsidRPr="00303760" w:rsidRDefault="00073B24" w:rsidP="001C63F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handling;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automated mechanisms supporting incident handling; other relevant documents or records].</w:t>
            </w:r>
          </w:p>
          <w:p w:rsidR="00073B24" w:rsidRPr="00380A46" w:rsidRDefault="00073B24" w:rsidP="001C63F0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30376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0376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0376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03760">
              <w:rPr>
                <w:rFonts w:ascii="Arial" w:hAnsi="Arial" w:cs="Arial"/>
                <w:iCs/>
                <w:sz w:val="16"/>
                <w:szCs w:val="16"/>
              </w:rPr>
              <w:t>Organizational personnel with incident handling responsibilities].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</w:tcPr>
          <w:p w:rsidR="00073B24" w:rsidRPr="005073C2" w:rsidRDefault="00073B24" w:rsidP="001C63F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3B24" w:rsidRPr="002F5405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3B24" w:rsidRPr="005073C2" w:rsidRDefault="00073B24" w:rsidP="001C63F0"/>
        </w:tc>
        <w:tc>
          <w:tcPr>
            <w:tcW w:w="7110" w:type="dxa"/>
            <w:tcBorders>
              <w:bottom w:val="single" w:sz="4" w:space="0" w:color="auto"/>
            </w:tcBorders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</w:rPr>
              <w:t>IR-8, SC-7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91E8D">
              <w:rPr>
                <w:rFonts w:ascii="Arial" w:hAnsi="Arial" w:cs="Arial"/>
                <w:iCs/>
                <w:smallCaps/>
                <w:sz w:val="16"/>
                <w:szCs w:val="16"/>
                <w:lang w:val="fr-FR"/>
              </w:rPr>
              <w:t>AU-6, AU-7, AU-11, CM-6, CP-2, IR-2, IR-3, IR-5, IR-6, IR-7, PE-6, SI-4</w:t>
            </w:r>
          </w:p>
          <w:p w:rsidR="00073B24" w:rsidRPr="002F5405" w:rsidRDefault="00073B24" w:rsidP="00361B9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61B90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3B24" w:rsidRPr="005073C2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C63F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675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C3136A" w:rsidRPr="005073C2" w:rsidTr="001C63F0">
        <w:trPr>
          <w:cantSplit/>
        </w:trPr>
        <w:tc>
          <w:tcPr>
            <w:tcW w:w="1530" w:type="dxa"/>
          </w:tcPr>
          <w:p w:rsidR="00C3136A" w:rsidRPr="001D7240" w:rsidRDefault="00C3136A" w:rsidP="001D724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D724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D7240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3136A" w:rsidRPr="005073C2" w:rsidRDefault="00C3136A" w:rsidP="007530D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 w:rsidR="00BB6E0F">
              <w:rPr>
                <w:iCs/>
                <w:sz w:val="18"/>
                <w:szCs w:val="18"/>
              </w:rPr>
              <w:t xml:space="preserve">incident response policy, </w:t>
            </w:r>
            <w:r>
              <w:rPr>
                <w:iCs/>
                <w:sz w:val="18"/>
                <w:szCs w:val="18"/>
              </w:rPr>
              <w:t>procedures addressing incident handling</w:t>
            </w:r>
            <w:r w:rsidR="00BB6E0F">
              <w:rPr>
                <w:iCs/>
                <w:sz w:val="18"/>
                <w:szCs w:val="18"/>
              </w:rPr>
              <w:t>, incident response plan,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B6E0F">
              <w:rPr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the me</w:t>
            </w:r>
            <w:r w:rsidR="007530D6">
              <w:rPr>
                <w:iCs/>
                <w:sz w:val="18"/>
                <w:szCs w:val="18"/>
              </w:rPr>
              <w:t xml:space="preserve">asures </w:t>
            </w:r>
            <w:r w:rsidR="00BB6E0F">
              <w:rPr>
                <w:iCs/>
                <w:sz w:val="18"/>
                <w:szCs w:val="18"/>
              </w:rPr>
              <w:t xml:space="preserve">(including the process and/or the automated mechanisms and their configuration settings) </w:t>
            </w:r>
            <w:r>
              <w:rPr>
                <w:iCs/>
                <w:sz w:val="18"/>
                <w:szCs w:val="18"/>
              </w:rPr>
              <w:t>to be employed to correlate incident information and individual responses to achieve an organization-wide perspective on incident awareness and response.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C3136A" w:rsidRPr="005073C2" w:rsidTr="001C63F0">
        <w:trPr>
          <w:cantSplit/>
        </w:trPr>
        <w:tc>
          <w:tcPr>
            <w:tcW w:w="1530" w:type="dxa"/>
          </w:tcPr>
          <w:p w:rsidR="00C3136A" w:rsidRPr="001D7240" w:rsidRDefault="00C3136A" w:rsidP="001C63F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D724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D724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C3136A" w:rsidRPr="005073C2" w:rsidRDefault="00C3136A" w:rsidP="00BB6E0F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BB6E0F">
              <w:rPr>
                <w:iCs/>
                <w:sz w:val="18"/>
                <w:szCs w:val="18"/>
              </w:rPr>
              <w:t xml:space="preserve">documentation describing the current </w:t>
            </w:r>
            <w:r>
              <w:rPr>
                <w:iCs/>
                <w:sz w:val="18"/>
                <w:szCs w:val="18"/>
              </w:rPr>
              <w:t>configuration settings for an agreed-upon [</w:t>
            </w:r>
            <w:r w:rsidRPr="001078A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BB6E0F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BB6E0F">
              <w:rPr>
                <w:iCs/>
                <w:sz w:val="18"/>
                <w:szCs w:val="18"/>
              </w:rPr>
              <w:t xml:space="preserve">the automated </w:t>
            </w:r>
            <w:r>
              <w:rPr>
                <w:iCs/>
                <w:sz w:val="18"/>
                <w:szCs w:val="18"/>
              </w:rPr>
              <w:t>me</w:t>
            </w:r>
            <w:r w:rsidR="001675F0">
              <w:rPr>
                <w:iCs/>
                <w:sz w:val="18"/>
                <w:szCs w:val="18"/>
              </w:rPr>
              <w:t>chanisms identified in IR-4(4)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BB6E0F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BB6E0F">
              <w:rPr>
                <w:iCs/>
                <w:sz w:val="18"/>
                <w:szCs w:val="18"/>
              </w:rPr>
              <w:t xml:space="preserve">mechanisms are configured as </w:t>
            </w:r>
            <w:r w:rsidR="001675F0">
              <w:rPr>
                <w:iCs/>
                <w:sz w:val="18"/>
                <w:szCs w:val="18"/>
              </w:rPr>
              <w:t>identified in IR-4(4)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BB6E0F" w:rsidRPr="005073C2" w:rsidTr="001C63F0">
        <w:trPr>
          <w:cantSplit/>
        </w:trPr>
        <w:tc>
          <w:tcPr>
            <w:tcW w:w="1530" w:type="dxa"/>
          </w:tcPr>
          <w:p w:rsidR="00BB6E0F" w:rsidRDefault="001675F0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IR-4(4)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B6E0F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BB6E0F" w:rsidRDefault="00BB6E0F" w:rsidP="001675F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the</w:t>
            </w:r>
            <w:r w:rsidR="001675F0">
              <w:rPr>
                <w:iCs/>
                <w:sz w:val="18"/>
                <w:szCs w:val="18"/>
              </w:rPr>
              <w:t xml:space="preserve"> process identified in IR-4(4)</w:t>
            </w:r>
            <w:r w:rsidR="003B7FA6">
              <w:rPr>
                <w:iCs/>
                <w:sz w:val="18"/>
                <w:szCs w:val="18"/>
              </w:rPr>
              <w:t>.1</w:t>
            </w:r>
            <w:r w:rsidR="001675F0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1.1 to correlate incident information and individual incident responses; [</w:t>
            </w:r>
            <w:r>
              <w:rPr>
                <w:i/>
                <w:iCs/>
                <w:sz w:val="18"/>
                <w:szCs w:val="18"/>
              </w:rPr>
              <w:t>observing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1675F0">
              <w:rPr>
                <w:iCs/>
                <w:sz w:val="18"/>
                <w:szCs w:val="18"/>
              </w:rPr>
              <w:t xml:space="preserve"> process identified in IR-4(4)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is being applied</w:t>
            </w:r>
          </w:p>
        </w:tc>
      </w:tr>
      <w:tr w:rsidR="00F0365B" w:rsidRPr="005073C2" w:rsidTr="001C63F0">
        <w:trPr>
          <w:cantSplit/>
        </w:trPr>
        <w:tc>
          <w:tcPr>
            <w:tcW w:w="1530" w:type="dxa"/>
          </w:tcPr>
          <w:p w:rsidR="00F0365B" w:rsidRDefault="001675F0" w:rsidP="001C63F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IR-4(4)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0365B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F0365B" w:rsidRPr="00F0365B" w:rsidRDefault="00F0365B" w:rsidP="00BB6E0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F0365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incident handling responsibilities; conducting [</w:t>
            </w:r>
            <w:r w:rsidRPr="00F0365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</w:t>
            </w:r>
            <w:r w:rsidR="001675F0">
              <w:rPr>
                <w:iCs/>
                <w:sz w:val="18"/>
                <w:szCs w:val="18"/>
              </w:rPr>
              <w:t>measures identified in IR-4(4)</w:t>
            </w:r>
            <w:r w:rsidR="003B7FA6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 are being applied.</w:t>
            </w:r>
          </w:p>
        </w:tc>
      </w:tr>
      <w:tr w:rsidR="00C3136A" w:rsidRPr="005073C2" w:rsidTr="001C63F0">
        <w:trPr>
          <w:cantSplit/>
        </w:trPr>
        <w:tc>
          <w:tcPr>
            <w:tcW w:w="1530" w:type="dxa"/>
          </w:tcPr>
          <w:p w:rsidR="00C3136A" w:rsidRPr="001D7240" w:rsidRDefault="00C3136A" w:rsidP="00F0365B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1D7240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4(4)</w:t>
            </w:r>
            <w:r w:rsidR="003B7FA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1D7240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F0365B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C3136A" w:rsidRPr="005073C2" w:rsidRDefault="000A37C6" w:rsidP="00D70BA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 w:rsidR="00C3136A">
              <w:rPr>
                <w:b/>
                <w:iCs/>
                <w:sz w:val="18"/>
                <w:szCs w:val="18"/>
              </w:rPr>
              <w:t xml:space="preserve"> </w:t>
            </w:r>
            <w:r w:rsidR="00C3136A">
              <w:rPr>
                <w:iCs/>
                <w:sz w:val="18"/>
                <w:szCs w:val="18"/>
              </w:rPr>
              <w:t>an agreed-upon [</w:t>
            </w:r>
            <w:r w:rsidR="00C3136A" w:rsidRPr="001078A9">
              <w:rPr>
                <w:i/>
                <w:iCs/>
                <w:sz w:val="18"/>
                <w:szCs w:val="18"/>
              </w:rPr>
              <w:t>basic</w:t>
            </w:r>
            <w:r w:rsidR="00C3136A">
              <w:rPr>
                <w:iCs/>
                <w:sz w:val="18"/>
                <w:szCs w:val="18"/>
              </w:rPr>
              <w:t xml:space="preserve">] </w:t>
            </w:r>
            <w:r w:rsidR="00F0365B">
              <w:rPr>
                <w:iCs/>
                <w:sz w:val="18"/>
                <w:szCs w:val="18"/>
              </w:rPr>
              <w:t xml:space="preserve">sample </w:t>
            </w:r>
            <w:r w:rsidR="00C3136A">
              <w:rPr>
                <w:iCs/>
                <w:sz w:val="18"/>
                <w:szCs w:val="18"/>
              </w:rPr>
              <w:t xml:space="preserve">of </w:t>
            </w:r>
            <w:r w:rsidR="00F0365B">
              <w:rPr>
                <w:iCs/>
                <w:sz w:val="18"/>
                <w:szCs w:val="18"/>
              </w:rPr>
              <w:t xml:space="preserve">the automated mechanisms and their configuration </w:t>
            </w:r>
            <w:r w:rsidR="001675F0">
              <w:rPr>
                <w:iCs/>
                <w:sz w:val="18"/>
                <w:szCs w:val="18"/>
              </w:rPr>
              <w:t>settings identified in IR-4(4)</w:t>
            </w:r>
            <w:r w:rsidR="003B7FA6">
              <w:rPr>
                <w:iCs/>
                <w:sz w:val="18"/>
                <w:szCs w:val="18"/>
              </w:rPr>
              <w:t>.1</w:t>
            </w:r>
            <w:r w:rsidR="00F0365B">
              <w:rPr>
                <w:iCs/>
                <w:sz w:val="18"/>
                <w:szCs w:val="18"/>
              </w:rPr>
              <w:t>.1.1</w:t>
            </w:r>
            <w:r w:rsidR="00957F6B">
              <w:rPr>
                <w:iCs/>
                <w:sz w:val="18"/>
                <w:szCs w:val="18"/>
              </w:rPr>
              <w:t xml:space="preserve"> using an agreed-upon [</w:t>
            </w:r>
            <w:r w:rsidR="00957F6B" w:rsidRPr="00957F6B">
              <w:rPr>
                <w:i/>
                <w:iCs/>
                <w:sz w:val="18"/>
                <w:szCs w:val="18"/>
              </w:rPr>
              <w:t>basic</w:t>
            </w:r>
            <w:r w:rsidR="00957F6B">
              <w:rPr>
                <w:iCs/>
                <w:sz w:val="18"/>
                <w:szCs w:val="18"/>
              </w:rPr>
              <w:t>] sample of simulated events or conditions</w:t>
            </w:r>
            <w:r w:rsidR="00C3136A">
              <w:rPr>
                <w:iCs/>
                <w:sz w:val="18"/>
                <w:szCs w:val="18"/>
              </w:rPr>
              <w:t xml:space="preserve">; </w:t>
            </w:r>
            <w:r w:rsidR="00D70BA0">
              <w:rPr>
                <w:iCs/>
                <w:sz w:val="18"/>
                <w:szCs w:val="18"/>
              </w:rPr>
              <w:t xml:space="preserve">conducting </w:t>
            </w:r>
            <w:r w:rsidR="00C3136A">
              <w:rPr>
                <w:iCs/>
                <w:sz w:val="18"/>
                <w:szCs w:val="18"/>
              </w:rPr>
              <w:t>[</w:t>
            </w:r>
            <w:r w:rsidR="00D70BA0">
              <w:rPr>
                <w:i/>
                <w:iCs/>
                <w:sz w:val="18"/>
                <w:szCs w:val="18"/>
              </w:rPr>
              <w:t>basic</w:t>
            </w:r>
            <w:r w:rsidR="00C3136A">
              <w:rPr>
                <w:iCs/>
                <w:sz w:val="18"/>
                <w:szCs w:val="18"/>
              </w:rPr>
              <w:t xml:space="preserve">] </w:t>
            </w:r>
            <w:r w:rsidR="00D70BA0">
              <w:rPr>
                <w:iCs/>
                <w:sz w:val="18"/>
                <w:szCs w:val="18"/>
              </w:rPr>
              <w:t xml:space="preserve">testing </w:t>
            </w:r>
            <w:r w:rsidR="00C3136A">
              <w:rPr>
                <w:iCs/>
                <w:sz w:val="18"/>
                <w:szCs w:val="18"/>
              </w:rPr>
              <w:t xml:space="preserve">for evidence that </w:t>
            </w:r>
            <w:r>
              <w:rPr>
                <w:iCs/>
                <w:sz w:val="18"/>
                <w:szCs w:val="18"/>
              </w:rPr>
              <w:t>the</w:t>
            </w:r>
            <w:r w:rsidR="00F0365B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F0365B">
              <w:rPr>
                <w:iCs/>
                <w:sz w:val="18"/>
                <w:szCs w:val="18"/>
              </w:rPr>
              <w:t xml:space="preserve">mechanisms are operating </w:t>
            </w:r>
            <w:r w:rsidR="00C3136A">
              <w:rPr>
                <w:iCs/>
                <w:sz w:val="18"/>
                <w:szCs w:val="18"/>
              </w:rPr>
              <w:t>as intended.</w:t>
            </w:r>
            <w:r w:rsidR="00C3136A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073B24" w:rsidRPr="005073C2" w:rsidTr="001C63F0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1675F0" w:rsidRDefault="001675F0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1675F0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73B24" w:rsidRPr="003111F5" w:rsidTr="001C63F0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IR-4(5)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073B24" w:rsidRPr="00380A46" w:rsidRDefault="00073B24" w:rsidP="001C63F0">
            <w:pPr>
              <w:pStyle w:val="control-name"/>
              <w:spacing w:before="120"/>
              <w:rPr>
                <w:highlight w:val="yellow"/>
              </w:rPr>
            </w:pPr>
            <w:r>
              <w:t>INCIDENT HANDLING</w:t>
            </w:r>
          </w:p>
        </w:tc>
      </w:tr>
      <w:tr w:rsidR="00073B24" w:rsidRPr="005073C2" w:rsidTr="001C63F0">
        <w:trPr>
          <w:cantSplit/>
          <w:trHeight w:val="3244"/>
        </w:trPr>
        <w:tc>
          <w:tcPr>
            <w:tcW w:w="1530" w:type="dxa"/>
          </w:tcPr>
          <w:p w:rsidR="001675F0" w:rsidRDefault="001675F0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IR-4(5).1</w:t>
            </w:r>
          </w:p>
          <w:p w:rsidR="00073B24" w:rsidRDefault="00073B24" w:rsidP="001C63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73B24" w:rsidRDefault="00073B24" w:rsidP="001C63F0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73B24" w:rsidRPr="00380A46" w:rsidRDefault="00073B24" w:rsidP="001C63F0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IR-4(5).1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73B24" w:rsidRPr="00380A46" w:rsidRDefault="00073B24" w:rsidP="001C63F0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073B24" w:rsidRPr="00380A46" w:rsidRDefault="00073B24" w:rsidP="00073B24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  <w:szCs w:val="20"/>
              </w:rPr>
              <w:t>the organization defines</w:t>
            </w:r>
            <w:r>
              <w:rPr>
                <w:bCs/>
                <w:i/>
                <w:iCs/>
                <w:sz w:val="20"/>
                <w:szCs w:val="20"/>
              </w:rPr>
              <w:t xml:space="preserve"> a</w:t>
            </w:r>
            <w:r w:rsidRPr="00380A46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 xml:space="preserve">list of </w:t>
            </w:r>
            <w:r w:rsidRPr="00380A46">
              <w:rPr>
                <w:bCs/>
                <w:i/>
                <w:iCs/>
                <w:sz w:val="20"/>
                <w:szCs w:val="20"/>
              </w:rPr>
              <w:t xml:space="preserve">security violations that, if detected, initiate a configurable capability to automatically disable the information system; and </w:t>
            </w:r>
          </w:p>
          <w:p w:rsidR="00073B24" w:rsidRPr="00380A46" w:rsidRDefault="00073B24" w:rsidP="00073B24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380A46">
              <w:rPr>
                <w:bCs/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bCs/>
                <w:i/>
                <w:iCs/>
                <w:sz w:val="20"/>
                <w:szCs w:val="20"/>
              </w:rPr>
              <w:t xml:space="preserve"> organization implements a configurable capability to automatically disable the information system if any of the organization-defined security violations are detected.</w:t>
            </w:r>
          </w:p>
          <w:p w:rsidR="00073B24" w:rsidRPr="008C3065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C306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73B24" w:rsidRPr="008C3065" w:rsidRDefault="00073B24" w:rsidP="001C63F0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C306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C306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C306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C306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C3065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handling; automated mechanisms supporting incident handling;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incident response plan; </w:t>
            </w:r>
            <w:r w:rsidRPr="008C306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073B24" w:rsidRPr="00380A46" w:rsidRDefault="00073B24" w:rsidP="001C63F0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8C306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8C306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C306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C306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C3065">
              <w:rPr>
                <w:rFonts w:ascii="Arial" w:hAnsi="Arial" w:cs="Arial"/>
                <w:iCs/>
                <w:sz w:val="16"/>
                <w:szCs w:val="16"/>
              </w:rPr>
              <w:t>Organizational personnel with incident handling responsibilities].</w:t>
            </w:r>
          </w:p>
        </w:tc>
      </w:tr>
      <w:tr w:rsidR="00073B24" w:rsidRPr="005073C2" w:rsidTr="001C63F0">
        <w:trPr>
          <w:cantSplit/>
        </w:trPr>
        <w:tc>
          <w:tcPr>
            <w:tcW w:w="8640" w:type="dxa"/>
            <w:gridSpan w:val="2"/>
          </w:tcPr>
          <w:p w:rsidR="00073B24" w:rsidRPr="005073C2" w:rsidRDefault="00073B24" w:rsidP="001C63F0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073B24" w:rsidRPr="002F5405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3B24" w:rsidRPr="005073C2" w:rsidRDefault="00073B24" w:rsidP="001C63F0"/>
        </w:tc>
        <w:tc>
          <w:tcPr>
            <w:tcW w:w="7110" w:type="dxa"/>
            <w:tcBorders>
              <w:bottom w:val="single" w:sz="4" w:space="0" w:color="auto"/>
            </w:tcBorders>
          </w:tcPr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58628D">
              <w:rPr>
                <w:rFonts w:ascii="Arial" w:hAnsi="Arial" w:cs="Arial"/>
                <w:iCs/>
                <w:smallCaps/>
                <w:sz w:val="16"/>
                <w:szCs w:val="16"/>
              </w:rPr>
              <w:t>IR-8, SC-7</w:t>
            </w:r>
          </w:p>
          <w:p w:rsidR="00073B24" w:rsidRPr="005073C2" w:rsidRDefault="00073B24" w:rsidP="001C63F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8628D">
              <w:rPr>
                <w:rFonts w:ascii="Arial" w:hAnsi="Arial" w:cs="Arial"/>
                <w:iCs/>
                <w:smallCaps/>
                <w:sz w:val="16"/>
                <w:szCs w:val="16"/>
              </w:rPr>
              <w:t>AU-2, AU-6, CM-6, CP-2, IR-2, IR-3, IR-5, IR-6, IR-7, PE-6, SI-4</w:t>
            </w:r>
          </w:p>
          <w:p w:rsidR="00073B24" w:rsidRPr="002F5405" w:rsidRDefault="00073B24" w:rsidP="006F27C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6F27C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073B24" w:rsidRPr="005073C2" w:rsidTr="001C63F0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C63F0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B24" w:rsidRPr="005073C2" w:rsidRDefault="00073B24" w:rsidP="001675F0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67B21" w:rsidRPr="005073C2" w:rsidTr="001C63F0">
        <w:trPr>
          <w:cantSplit/>
        </w:trPr>
        <w:tc>
          <w:tcPr>
            <w:tcW w:w="1530" w:type="dxa"/>
          </w:tcPr>
          <w:p w:rsidR="00367B21" w:rsidRPr="00B44E81" w:rsidRDefault="00367B21" w:rsidP="00B44E8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44E8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</w:t>
            </w:r>
            <w:r w:rsidRPr="00B44E81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367B21" w:rsidRPr="005073C2" w:rsidRDefault="00367B21" w:rsidP="00FC5FE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policy</w:t>
            </w:r>
            <w:r w:rsidR="00FC5FEE">
              <w:rPr>
                <w:iCs/>
                <w:sz w:val="18"/>
                <w:szCs w:val="18"/>
              </w:rPr>
              <w:t>, procedures addressing incident handling,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FC5FEE">
              <w:rPr>
                <w:iCs/>
                <w:sz w:val="18"/>
                <w:szCs w:val="18"/>
              </w:rPr>
              <w:t xml:space="preserve">incident response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</w:t>
            </w:r>
            <w:r w:rsidR="00FC5FEE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list of security violations that, if detected, initiate a configurable capability to automatically disable the information system.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675F0" w:rsidRPr="005073C2" w:rsidTr="001675F0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1675F0" w:rsidRDefault="001675F0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1675F0" w:rsidRPr="008D7BED" w:rsidRDefault="001675F0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67B21" w:rsidRPr="005073C2" w:rsidTr="001C63F0">
        <w:trPr>
          <w:cantSplit/>
        </w:trPr>
        <w:tc>
          <w:tcPr>
            <w:tcW w:w="1530" w:type="dxa"/>
          </w:tcPr>
          <w:p w:rsidR="00367B21" w:rsidRPr="00B44E81" w:rsidRDefault="00367B21" w:rsidP="00B44E8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44E8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4(5).1</w:t>
            </w:r>
            <w:r w:rsidRPr="00B44E81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367B21" w:rsidRPr="005073C2" w:rsidRDefault="00367B21" w:rsidP="00FC5FE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5038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FC5FEE">
              <w:rPr>
                <w:iCs/>
                <w:sz w:val="18"/>
                <w:szCs w:val="18"/>
              </w:rPr>
              <w:t xml:space="preserve">incident response plan, information system design documentation,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</w:t>
            </w:r>
            <w:r w:rsidR="00025045">
              <w:rPr>
                <w:iCs/>
                <w:sz w:val="18"/>
                <w:szCs w:val="18"/>
              </w:rPr>
              <w:t xml:space="preserve"> the</w:t>
            </w:r>
            <w:r w:rsidR="007C12FC">
              <w:rPr>
                <w:iCs/>
                <w:sz w:val="18"/>
                <w:szCs w:val="18"/>
              </w:rPr>
              <w:t xml:space="preserve"> automated mechanisms and their configurations to be employed to automatically disable the information system if any of the security violations identified in IR-4(5).1.1.1 are detected</w:t>
            </w:r>
            <w:r>
              <w:rPr>
                <w:i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7C12FC" w:rsidRPr="005073C2" w:rsidTr="001C63F0">
        <w:trPr>
          <w:cantSplit/>
        </w:trPr>
        <w:tc>
          <w:tcPr>
            <w:tcW w:w="1530" w:type="dxa"/>
          </w:tcPr>
          <w:p w:rsidR="007C12FC" w:rsidRPr="00B44E81" w:rsidRDefault="007C12FC" w:rsidP="00B44E8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B44E81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4(5).1</w:t>
            </w:r>
            <w:r w:rsidRPr="00B44E81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7C12FC" w:rsidRPr="005073C2" w:rsidRDefault="007C12FC" w:rsidP="00957F6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957F6B">
              <w:rPr>
                <w:iCs/>
                <w:sz w:val="18"/>
                <w:szCs w:val="18"/>
              </w:rPr>
              <w:t xml:space="preserve">documentation describing the current </w:t>
            </w:r>
            <w:r>
              <w:rPr>
                <w:iCs/>
                <w:sz w:val="18"/>
                <w:szCs w:val="18"/>
              </w:rPr>
              <w:t>configuration settings for an agreed-upon [</w:t>
            </w:r>
            <w:r w:rsidRPr="001078A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957F6B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="00957F6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 mechanisms identified in IR-4(</w:t>
            </w:r>
            <w:r w:rsidR="00025045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</w:t>
            </w:r>
            <w:r w:rsidR="00025045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.1; [</w:t>
            </w:r>
            <w:r w:rsidRPr="001078A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</w:t>
            </w:r>
            <w:r w:rsidR="00957F6B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mechanisms are configured as identified in IR-4(</w:t>
            </w:r>
            <w:r w:rsidR="00025045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</w:t>
            </w:r>
            <w:r w:rsidR="00025045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.1.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FA5377" w:rsidRPr="005073C2" w:rsidTr="001C63F0">
        <w:trPr>
          <w:cantSplit/>
        </w:trPr>
        <w:tc>
          <w:tcPr>
            <w:tcW w:w="1530" w:type="dxa"/>
          </w:tcPr>
          <w:p w:rsidR="00FA5377" w:rsidRDefault="00FA5377" w:rsidP="00B44E8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IR-4(5).1.2.3</w:t>
            </w:r>
          </w:p>
        </w:tc>
        <w:tc>
          <w:tcPr>
            <w:tcW w:w="7110" w:type="dxa"/>
          </w:tcPr>
          <w:p w:rsidR="00FA5377" w:rsidRPr="00D70BA0" w:rsidRDefault="00D70BA0" w:rsidP="00957F6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Test </w:t>
            </w:r>
            <w:r>
              <w:rPr>
                <w:iCs/>
                <w:sz w:val="18"/>
                <w:szCs w:val="18"/>
              </w:rPr>
              <w:t>an agreed-upon [</w:t>
            </w:r>
            <w:r w:rsidRPr="00D70BA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and their configuration settings identified in IR-4(5).1.2.1 using an agreed-upon [</w:t>
            </w:r>
            <w:r w:rsidRPr="00D70BA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simulated events or conditions; conducting [</w:t>
            </w:r>
            <w:r w:rsidRPr="00D70BA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mechanisms are operating as intended.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4613" w:rsidRDefault="00C24613" w:rsidP="00F351C8">
      <w:r>
        <w:separator/>
      </w:r>
    </w:p>
  </w:endnote>
  <w:endnote w:type="continuationSeparator" w:id="0">
    <w:p w:rsidR="00C24613" w:rsidRDefault="00C2461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8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978A7" w:rsidRDefault="005978A7">
            <w:pPr>
              <w:pStyle w:val="Footer"/>
              <w:jc w:val="center"/>
            </w:pPr>
            <w:r>
              <w:t>Initial Public Draft</w:t>
            </w:r>
          </w:p>
          <w:p w:rsidR="005978A7" w:rsidRDefault="005978A7">
            <w:pPr>
              <w:pStyle w:val="Footer"/>
              <w:jc w:val="center"/>
            </w:pPr>
            <w:r>
              <w:t xml:space="preserve">Page </w:t>
            </w:r>
            <w:r w:rsidR="002810F6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810F6">
              <w:rPr>
                <w:b/>
              </w:rPr>
              <w:fldChar w:fldCharType="separate"/>
            </w:r>
            <w:r w:rsidR="003B7FA6">
              <w:rPr>
                <w:b/>
                <w:noProof/>
              </w:rPr>
              <w:t>6</w:t>
            </w:r>
            <w:r w:rsidR="002810F6">
              <w:rPr>
                <w:b/>
              </w:rPr>
              <w:fldChar w:fldCharType="end"/>
            </w:r>
            <w:r>
              <w:t xml:space="preserve"> of </w:t>
            </w:r>
            <w:r w:rsidR="002810F6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810F6">
              <w:rPr>
                <w:b/>
              </w:rPr>
              <w:fldChar w:fldCharType="separate"/>
            </w:r>
            <w:r w:rsidR="003B7FA6">
              <w:rPr>
                <w:b/>
                <w:noProof/>
              </w:rPr>
              <w:t>8</w:t>
            </w:r>
            <w:r w:rsidR="002810F6">
              <w:rPr>
                <w:b/>
              </w:rPr>
              <w:fldChar w:fldCharType="end"/>
            </w:r>
          </w:p>
        </w:sdtContent>
      </w:sdt>
    </w:sdtContent>
  </w:sdt>
  <w:p w:rsidR="005978A7" w:rsidRDefault="005978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4613" w:rsidRDefault="00C24613" w:rsidP="00F351C8">
      <w:r>
        <w:separator/>
      </w:r>
    </w:p>
  </w:footnote>
  <w:footnote w:type="continuationSeparator" w:id="0">
    <w:p w:rsidR="00C24613" w:rsidRDefault="00C2461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A7" w:rsidRDefault="005978A7">
    <w:pPr>
      <w:pStyle w:val="Header"/>
    </w:pPr>
    <w:r>
      <w:t>Assessment Case:  IR-4 Incident Handling</w:t>
    </w:r>
  </w:p>
  <w:p w:rsidR="005978A7" w:rsidRDefault="005978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24EC6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06E3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4978"/>
    <w:multiLevelType w:val="hybridMultilevel"/>
    <w:tmpl w:val="6A6ADD2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648C5"/>
    <w:multiLevelType w:val="hybridMultilevel"/>
    <w:tmpl w:val="592431A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8F94177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F33B2"/>
    <w:multiLevelType w:val="hybridMultilevel"/>
    <w:tmpl w:val="F3C08C1C"/>
    <w:lvl w:ilvl="0" w:tplc="96220746">
      <w:start w:val="4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12335"/>
    <w:multiLevelType w:val="hybridMultilevel"/>
    <w:tmpl w:val="C914B2C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7F5EF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20619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  <w:num w:numId="12">
    <w:abstractNumId w:val="15"/>
  </w:num>
  <w:num w:numId="13">
    <w:abstractNumId w:val="0"/>
  </w:num>
  <w:num w:numId="14">
    <w:abstractNumId w:val="14"/>
  </w:num>
  <w:num w:numId="15">
    <w:abstractNumId w:val="17"/>
  </w:num>
  <w:num w:numId="16">
    <w:abstractNumId w:val="5"/>
  </w:num>
  <w:num w:numId="17">
    <w:abstractNumId w:val="1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5045"/>
    <w:rsid w:val="00031885"/>
    <w:rsid w:val="000377F1"/>
    <w:rsid w:val="00073B24"/>
    <w:rsid w:val="00076953"/>
    <w:rsid w:val="0009361A"/>
    <w:rsid w:val="00094F18"/>
    <w:rsid w:val="000A37C6"/>
    <w:rsid w:val="000C7744"/>
    <w:rsid w:val="000E7CC1"/>
    <w:rsid w:val="000F52C8"/>
    <w:rsid w:val="001078A9"/>
    <w:rsid w:val="00127B11"/>
    <w:rsid w:val="00133A6E"/>
    <w:rsid w:val="00135460"/>
    <w:rsid w:val="00143A7D"/>
    <w:rsid w:val="001445D0"/>
    <w:rsid w:val="00161663"/>
    <w:rsid w:val="001675F0"/>
    <w:rsid w:val="001700E1"/>
    <w:rsid w:val="001859EB"/>
    <w:rsid w:val="001C3BD4"/>
    <w:rsid w:val="001C63F0"/>
    <w:rsid w:val="001D18B5"/>
    <w:rsid w:val="001D7240"/>
    <w:rsid w:val="001E0044"/>
    <w:rsid w:val="001E25BB"/>
    <w:rsid w:val="001F1401"/>
    <w:rsid w:val="002149E9"/>
    <w:rsid w:val="0021654A"/>
    <w:rsid w:val="00260D48"/>
    <w:rsid w:val="002810F6"/>
    <w:rsid w:val="00291F18"/>
    <w:rsid w:val="002B5166"/>
    <w:rsid w:val="002C1F6C"/>
    <w:rsid w:val="002F5405"/>
    <w:rsid w:val="002F6BDE"/>
    <w:rsid w:val="002F6E98"/>
    <w:rsid w:val="003111F5"/>
    <w:rsid w:val="00320DAA"/>
    <w:rsid w:val="003332B1"/>
    <w:rsid w:val="0033433E"/>
    <w:rsid w:val="00361B90"/>
    <w:rsid w:val="00367B21"/>
    <w:rsid w:val="003A432C"/>
    <w:rsid w:val="003B5619"/>
    <w:rsid w:val="003B7FA6"/>
    <w:rsid w:val="003C5094"/>
    <w:rsid w:val="003D3428"/>
    <w:rsid w:val="003D451F"/>
    <w:rsid w:val="003D4549"/>
    <w:rsid w:val="003E5193"/>
    <w:rsid w:val="00420B5E"/>
    <w:rsid w:val="0042187C"/>
    <w:rsid w:val="00431437"/>
    <w:rsid w:val="004569C2"/>
    <w:rsid w:val="00486E05"/>
    <w:rsid w:val="004A58AC"/>
    <w:rsid w:val="004C1985"/>
    <w:rsid w:val="004E0C83"/>
    <w:rsid w:val="005053D7"/>
    <w:rsid w:val="00531A1C"/>
    <w:rsid w:val="0055491C"/>
    <w:rsid w:val="0057122B"/>
    <w:rsid w:val="0058628D"/>
    <w:rsid w:val="005978A7"/>
    <w:rsid w:val="005A6AB5"/>
    <w:rsid w:val="005B6B46"/>
    <w:rsid w:val="005C526B"/>
    <w:rsid w:val="005D0F59"/>
    <w:rsid w:val="005E0988"/>
    <w:rsid w:val="005F151E"/>
    <w:rsid w:val="005F621E"/>
    <w:rsid w:val="006145F7"/>
    <w:rsid w:val="00623080"/>
    <w:rsid w:val="00626203"/>
    <w:rsid w:val="00644D74"/>
    <w:rsid w:val="0065175E"/>
    <w:rsid w:val="00656FB2"/>
    <w:rsid w:val="0066048F"/>
    <w:rsid w:val="00681BCD"/>
    <w:rsid w:val="00685B86"/>
    <w:rsid w:val="006B4374"/>
    <w:rsid w:val="006C7961"/>
    <w:rsid w:val="006D06ED"/>
    <w:rsid w:val="006D0797"/>
    <w:rsid w:val="006E25D9"/>
    <w:rsid w:val="006E2AE0"/>
    <w:rsid w:val="006E36E2"/>
    <w:rsid w:val="006F27C1"/>
    <w:rsid w:val="006F3A36"/>
    <w:rsid w:val="00707F6C"/>
    <w:rsid w:val="007134C8"/>
    <w:rsid w:val="007530D6"/>
    <w:rsid w:val="007615A2"/>
    <w:rsid w:val="007A3118"/>
    <w:rsid w:val="007B66CC"/>
    <w:rsid w:val="007C07F9"/>
    <w:rsid w:val="007C12FC"/>
    <w:rsid w:val="007D39C7"/>
    <w:rsid w:val="007F1F0D"/>
    <w:rsid w:val="007F3A59"/>
    <w:rsid w:val="00812CF1"/>
    <w:rsid w:val="0081301E"/>
    <w:rsid w:val="00854526"/>
    <w:rsid w:val="00870562"/>
    <w:rsid w:val="00874374"/>
    <w:rsid w:val="00891E8D"/>
    <w:rsid w:val="008A0705"/>
    <w:rsid w:val="008A196A"/>
    <w:rsid w:val="008B61B3"/>
    <w:rsid w:val="008C3AB6"/>
    <w:rsid w:val="008E5682"/>
    <w:rsid w:val="008F10FE"/>
    <w:rsid w:val="0090735A"/>
    <w:rsid w:val="0091145C"/>
    <w:rsid w:val="00920EAA"/>
    <w:rsid w:val="00927DC8"/>
    <w:rsid w:val="00937E8F"/>
    <w:rsid w:val="00941DB5"/>
    <w:rsid w:val="00951BED"/>
    <w:rsid w:val="00957F6B"/>
    <w:rsid w:val="00961D0A"/>
    <w:rsid w:val="0096423C"/>
    <w:rsid w:val="0099744C"/>
    <w:rsid w:val="009A3664"/>
    <w:rsid w:val="009B7FE1"/>
    <w:rsid w:val="009F7B7C"/>
    <w:rsid w:val="00A0424B"/>
    <w:rsid w:val="00A30EDF"/>
    <w:rsid w:val="00A312C6"/>
    <w:rsid w:val="00A45573"/>
    <w:rsid w:val="00A50DCE"/>
    <w:rsid w:val="00A72C07"/>
    <w:rsid w:val="00A7666D"/>
    <w:rsid w:val="00AA32A5"/>
    <w:rsid w:val="00AB09F0"/>
    <w:rsid w:val="00AB6439"/>
    <w:rsid w:val="00AD46A5"/>
    <w:rsid w:val="00AD64B6"/>
    <w:rsid w:val="00AE57FA"/>
    <w:rsid w:val="00AF7230"/>
    <w:rsid w:val="00B11B70"/>
    <w:rsid w:val="00B162D6"/>
    <w:rsid w:val="00B44E81"/>
    <w:rsid w:val="00B576E5"/>
    <w:rsid w:val="00B6655E"/>
    <w:rsid w:val="00BA5924"/>
    <w:rsid w:val="00BA630E"/>
    <w:rsid w:val="00BB0CD9"/>
    <w:rsid w:val="00BB37B9"/>
    <w:rsid w:val="00BB6E0F"/>
    <w:rsid w:val="00BD4462"/>
    <w:rsid w:val="00BE0A45"/>
    <w:rsid w:val="00BF762A"/>
    <w:rsid w:val="00C05B58"/>
    <w:rsid w:val="00C169A6"/>
    <w:rsid w:val="00C24613"/>
    <w:rsid w:val="00C26D2E"/>
    <w:rsid w:val="00C3136A"/>
    <w:rsid w:val="00C42A17"/>
    <w:rsid w:val="00C56784"/>
    <w:rsid w:val="00C70011"/>
    <w:rsid w:val="00C7027E"/>
    <w:rsid w:val="00C70A72"/>
    <w:rsid w:val="00C72F37"/>
    <w:rsid w:val="00C7351D"/>
    <w:rsid w:val="00C8132C"/>
    <w:rsid w:val="00C8788A"/>
    <w:rsid w:val="00C96DFC"/>
    <w:rsid w:val="00CA57C6"/>
    <w:rsid w:val="00CC4A8C"/>
    <w:rsid w:val="00CE6812"/>
    <w:rsid w:val="00D20464"/>
    <w:rsid w:val="00D36099"/>
    <w:rsid w:val="00D70BA0"/>
    <w:rsid w:val="00DC43C6"/>
    <w:rsid w:val="00DD3BEB"/>
    <w:rsid w:val="00DE45C3"/>
    <w:rsid w:val="00DE55DA"/>
    <w:rsid w:val="00DF0031"/>
    <w:rsid w:val="00E22AC1"/>
    <w:rsid w:val="00E230E7"/>
    <w:rsid w:val="00E24612"/>
    <w:rsid w:val="00E44475"/>
    <w:rsid w:val="00E8370A"/>
    <w:rsid w:val="00E85867"/>
    <w:rsid w:val="00EB2FB2"/>
    <w:rsid w:val="00EC050D"/>
    <w:rsid w:val="00EC63A9"/>
    <w:rsid w:val="00EC7A90"/>
    <w:rsid w:val="00ED6F99"/>
    <w:rsid w:val="00EF1A4E"/>
    <w:rsid w:val="00F0365B"/>
    <w:rsid w:val="00F15739"/>
    <w:rsid w:val="00F31535"/>
    <w:rsid w:val="00F351C8"/>
    <w:rsid w:val="00F62E1E"/>
    <w:rsid w:val="00F71219"/>
    <w:rsid w:val="00FA055D"/>
    <w:rsid w:val="00FA5377"/>
    <w:rsid w:val="00FA7861"/>
    <w:rsid w:val="00FC0C0D"/>
    <w:rsid w:val="00FC5FEE"/>
    <w:rsid w:val="00FC7EAC"/>
    <w:rsid w:val="00FE4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D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DB5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735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1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1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810D6-D5F0-4A08-9A0E-C0792BC8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2011-06-06T18:57:00Z</dcterms:created>
  <dcterms:modified xsi:type="dcterms:W3CDTF">2011-11-07T20:53:00Z</dcterms:modified>
</cp:coreProperties>
</file>